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4E78"/>
          <w:sz w:val="32"/>
        </w:rPr>
        <w:t>SHEPHERD'S SHIELD SAFETY FOUNDATION</w:t>
      </w:r>
    </w:p>
    <w:p>
      <w:pPr>
        <w:jc w:val="center"/>
      </w:pPr>
      <w:r>
        <w:rPr>
          <w:i/>
          <w:color w:val="555555"/>
          <w:sz w:val="20"/>
        </w:rPr>
        <w:t>"Protecting the Flock. Preserving Life. Glorifying God."</w:t>
      </w:r>
    </w:p>
    <w:p/>
    <w:p>
      <w:pPr>
        <w:jc w:val="center"/>
      </w:pPr>
      <w:r>
        <w:rPr>
          <w:b/>
          <w:color w:val="0B2A4A"/>
          <w:sz w:val="28"/>
        </w:rPr>
        <w:t>Policy 1 — Confidentiality &amp; Non-Disclosure Policy</w:t>
      </w:r>
    </w:p>
    <w:p>
      <w:pPr>
        <w:jc w:val="center"/>
      </w:pPr>
      <w:r>
        <w:rPr>
          <w:b/>
          <w:color w:val="CC0000"/>
          <w:sz w:val="20"/>
        </w:rPr>
        <w:t>DRAFT — FOR BOARD REVIEW AND APPROVAL</w:t>
      </w:r>
    </w:p>
    <w:p/>
    <w:tbl>
      <w:tblPr>
        <w:tblStyle w:val="TableGrid"/>
        <w:tblW w:type="auto" w:w="0"/>
        <w:tblLook w:firstColumn="1" w:firstRow="1" w:lastColumn="0" w:lastRow="0" w:noHBand="0" w:noVBand="1" w:val="04A0"/>
      </w:tblPr>
      <w:tblGrid>
        <w:gridCol w:w="4320"/>
        <w:gridCol w:w="4320"/>
      </w:tblGrid>
      <w:tr>
        <w:tc>
          <w:tcPr>
            <w:tcW w:type="dxa" w:w="4320"/>
            <w:shd w:val="clear" w:color="auto" w:fill="E8F0FA"/>
          </w:tcPr>
          <w:p>
            <w:r>
              <w:rPr>
                <w:b/>
              </w:rPr>
              <w:t>Effective Date:</w:t>
            </w:r>
          </w:p>
        </w:tc>
        <w:tc>
          <w:tcPr>
            <w:tcW w:type="dxa" w:w="4320"/>
          </w:tcPr>
          <w:p>
            <w:r>
              <w:t>Upon Board Adoption</w:t>
            </w:r>
          </w:p>
        </w:tc>
      </w:tr>
      <w:tr>
        <w:tc>
          <w:tcPr>
            <w:tcW w:type="dxa" w:w="4320"/>
            <w:shd w:val="clear" w:color="auto" w:fill="E8F0FA"/>
          </w:tcPr>
          <w:p>
            <w:r>
              <w:rPr>
                <w:b/>
              </w:rPr>
              <w:t>Applies To:</w:t>
            </w:r>
          </w:p>
        </w:tc>
        <w:tc>
          <w:tcPr>
            <w:tcW w:type="dxa" w:w="4320"/>
          </w:tcPr>
          <w:p>
            <w:r>
              <w:t>All board members, assessors, volunteers, and contractors</w:t>
            </w:r>
          </w:p>
        </w:tc>
      </w:tr>
      <w:tr>
        <w:tc>
          <w:tcPr>
            <w:tcW w:type="dxa" w:w="4320"/>
            <w:shd w:val="clear" w:color="auto" w:fill="E8F0FA"/>
          </w:tcPr>
          <w:p>
            <w:r>
              <w:rPr>
                <w:b/>
              </w:rPr>
              <w:t>Review Cycle:</w:t>
            </w:r>
          </w:p>
        </w:tc>
        <w:tc>
          <w:tcPr>
            <w:tcW w:type="dxa" w:w="4320"/>
          </w:tcPr>
          <w:p>
            <w:r>
              <w:t>Annual</w:t>
            </w:r>
          </w:p>
        </w:tc>
      </w:tr>
    </w:tbl>
    <w:p/>
    <w:p>
      <w:pPr>
        <w:spacing w:before="200"/>
      </w:pPr>
      <w:r>
        <w:rPr>
          <w:b/>
          <w:color w:val="1A4E78"/>
          <w:sz w:val="22"/>
        </w:rPr>
        <w:t>1. Purpose</w:t>
      </w:r>
    </w:p>
    <w:p>
      <w:r>
        <w:t>Shepherd's Shield Safety Foundation (SSSF) conducts security assessments of churches, synagogues, and houses of worship. The findings of these assessments are sensitive documents that, if disclosed improperly, could compromise the safety of the very congregations SSSF is committed to protecting. This policy establishes mandatory standards for the handling, storage, and protection of all confidential information obtained during SSSF activities.</w:t>
      </w:r>
    </w:p>
    <w:p>
      <w:pPr>
        <w:spacing w:before="200"/>
      </w:pPr>
      <w:r>
        <w:rPr>
          <w:b/>
          <w:color w:val="1A4E78"/>
          <w:sz w:val="22"/>
        </w:rPr>
        <w:t>2. Scope</w:t>
      </w:r>
    </w:p>
    <w:p>
      <w:r>
        <w:t>This policy applies to all board members, certified assessors, volunteers, contractors, and any other individual acting on behalf of SSSF, effective from their first engagement with the foundation.</w:t>
      </w:r>
    </w:p>
    <w:p>
      <w:pPr>
        <w:spacing w:before="200"/>
      </w:pPr>
      <w:r>
        <w:rPr>
          <w:b/>
          <w:color w:val="1A4E78"/>
          <w:sz w:val="22"/>
        </w:rPr>
        <w:t>3. Definition of Confidential Information</w:t>
      </w:r>
    </w:p>
    <w:p>
      <w:r>
        <w:t>Confidential information includes, but is not limited to:</w:t>
      </w:r>
    </w:p>
    <w:p>
      <w:pPr>
        <w:pStyle w:val="ListBullet"/>
        <w:ind w:left="360"/>
      </w:pPr>
      <w:r>
        <w:t>All security assessment findings, scores, reports, and recommendations for any client facility</w:t>
      </w:r>
    </w:p>
    <w:p>
      <w:pPr>
        <w:pStyle w:val="ListBullet"/>
        <w:ind w:left="360"/>
      </w:pPr>
      <w:r>
        <w:t>Floor plans, site maps, security system details, and vulnerability information obtained during assessments</w:t>
      </w:r>
    </w:p>
    <w:p>
      <w:pPr>
        <w:pStyle w:val="ListBullet"/>
        <w:ind w:left="360"/>
      </w:pPr>
      <w:r>
        <w:t>Names, contact information, and personal details of church/congregation leadership, security team members, and staff</w:t>
      </w:r>
    </w:p>
    <w:p>
      <w:pPr>
        <w:pStyle w:val="ListBullet"/>
        <w:ind w:left="360"/>
      </w:pPr>
      <w:r>
        <w:t>Internal SSSF board deliberations, financial records, and strategic plans</w:t>
      </w:r>
    </w:p>
    <w:p>
      <w:pPr>
        <w:pStyle w:val="ListBullet"/>
        <w:ind w:left="360"/>
      </w:pPr>
      <w:r>
        <w:t>Any information a client church/house of worship designates as confidential</w:t>
      </w:r>
    </w:p>
    <w:p>
      <w:pPr>
        <w:pStyle w:val="ListBullet"/>
        <w:ind w:left="360"/>
      </w:pPr>
      <w:r>
        <w:t>Donor information and contribution records</w:t>
      </w:r>
    </w:p>
    <w:p>
      <w:pPr>
        <w:spacing w:before="200"/>
      </w:pPr>
      <w:r>
        <w:rPr>
          <w:b/>
          <w:color w:val="1A4E78"/>
          <w:sz w:val="22"/>
        </w:rPr>
        <w:t>4. Obligations</w:t>
      </w:r>
    </w:p>
    <w:p>
      <w:pPr>
        <w:pStyle w:val="ListBullet"/>
        <w:ind w:left="360"/>
      </w:pPr>
      <w:r>
        <w:t>Non-Disclosure: No confidential information shall be shared with any person or entity outside of SSSF without the prior written consent of the client church/house of worship and the SSSF President.</w:t>
      </w:r>
    </w:p>
    <w:p>
      <w:pPr>
        <w:pStyle w:val="ListBullet"/>
        <w:ind w:left="360"/>
      </w:pPr>
      <w:r>
        <w:t>Need-to-Know: Confidential information shall only be shared internally with individuals who require it to perform their authorized SSSF duties.</w:t>
      </w:r>
    </w:p>
    <w:p>
      <w:pPr>
        <w:pStyle w:val="ListBullet"/>
        <w:ind w:left="360"/>
      </w:pPr>
      <w:r>
        <w:t>Secure Storage: All physical assessment documents must be stored in a locked location. Digital files must be password-protected and stored on secure, encrypted devices or cloud platforms authorized by SSSF.</w:t>
      </w:r>
    </w:p>
    <w:p>
      <w:pPr>
        <w:pStyle w:val="ListBullet"/>
        <w:ind w:left="360"/>
      </w:pPr>
      <w:r>
        <w:t>No Social Media Disclosure: No assessment findings, client names, facility details, or vulnerability information shall be posted on social media or discussed in any public forum.</w:t>
      </w:r>
    </w:p>
    <w:p>
      <w:pPr>
        <w:pStyle w:val="ListBullet"/>
        <w:ind w:left="360"/>
      </w:pPr>
      <w:r>
        <w:t>Return or Destruction: Upon completion of an engagement, all working copies of assessment documents not required for SSSF records shall be securely destroyed (shredded for physical copies, permanently deleted for digital copies).</w:t>
      </w:r>
    </w:p>
    <w:p>
      <w:pPr>
        <w:pStyle w:val="ListBullet"/>
        <w:ind w:left="360"/>
      </w:pPr>
      <w:r>
        <w:t>Perpetual Obligation: The obligation of confidentiality survives the conclusion of an individual's service to SSSF and remains in effect indefinitely.</w:t>
      </w:r>
    </w:p>
    <w:p>
      <w:pPr>
        <w:spacing w:before="200"/>
      </w:pPr>
      <w:r>
        <w:rPr>
          <w:b/>
          <w:color w:val="1A4E78"/>
          <w:sz w:val="22"/>
        </w:rPr>
        <w:t>5. Mandatory Reporting</w:t>
      </w:r>
    </w:p>
    <w:p>
      <w:r>
        <w:t>Any suspected or actual breach of confidentiality must be reported to the SSSF President immediately. If the breach involves the President, it must be reported to the Vice President. SSSF will notify affected clients promptly upon confirmation of any breach.</w:t>
      </w:r>
    </w:p>
    <w:p>
      <w:pPr>
        <w:spacing w:before="200"/>
      </w:pPr>
      <w:r>
        <w:rPr>
          <w:b/>
          <w:color w:val="1A4E78"/>
          <w:sz w:val="22"/>
        </w:rPr>
        <w:t>6. Consequences of Violation</w:t>
      </w:r>
    </w:p>
    <w:p>
      <w:r>
        <w:t>Violations of this policy may result in immediate removal from all SSSF activities, revocation of assessor certification, and civil or legal action where applicable.</w:t>
      </w:r>
    </w:p>
    <w:p/>
    <w:p>
      <w:r>
        <w:rPr>
          <w:b/>
          <w:color w:val="1A4E78"/>
          <w:sz w:val="22"/>
        </w:rPr>
        <w:t>BOARD ADOPTION RECORD</w:t>
      </w:r>
    </w:p>
    <w:tbl>
      <w:tblPr>
        <w:tblStyle w:val="TableGrid"/>
        <w:tblW w:type="auto" w:w="0"/>
        <w:tblLook w:firstColumn="1" w:firstRow="1" w:lastColumn="0" w:lastRow="0" w:noHBand="0" w:noVBand="1" w:val="04A0"/>
      </w:tblPr>
      <w:tblGrid>
        <w:gridCol w:w="4320"/>
        <w:gridCol w:w="4320"/>
      </w:tblGrid>
      <w:tr>
        <w:tc>
          <w:tcPr>
            <w:tcW w:type="dxa" w:w="3168"/>
            <w:shd w:val="clear" w:color="auto" w:fill="E8F0FA"/>
          </w:tcPr>
          <w:p>
            <w:r>
              <w:rPr>
                <w:b/>
              </w:rPr>
              <w:t>Motion Made By:</w:t>
            </w:r>
          </w:p>
        </w:tc>
        <w:tc>
          <w:tcPr>
            <w:tcW w:type="dxa" w:w="5760"/>
          </w:tcPr>
          <w:p>
            <w:r/>
          </w:p>
        </w:tc>
      </w:tr>
      <w:tr>
        <w:tc>
          <w:tcPr>
            <w:tcW w:type="dxa" w:w="3168"/>
            <w:shd w:val="clear" w:color="auto" w:fill="E8F0FA"/>
          </w:tcPr>
          <w:p>
            <w:r>
              <w:rPr>
                <w:b/>
              </w:rPr>
              <w:t>Seconded By:</w:t>
            </w:r>
          </w:p>
        </w:tc>
        <w:tc>
          <w:tcPr>
            <w:tcW w:type="dxa" w:w="5760"/>
          </w:tcPr>
          <w:p>
            <w:r/>
          </w:p>
        </w:tc>
      </w:tr>
      <w:tr>
        <w:tc>
          <w:tcPr>
            <w:tcW w:type="dxa" w:w="3168"/>
            <w:shd w:val="clear" w:color="auto" w:fill="E8F0FA"/>
          </w:tcPr>
          <w:p>
            <w:r>
              <w:rPr>
                <w:b/>
              </w:rPr>
              <w:t>Vote (Yea / Nay / Abstain):</w:t>
            </w:r>
          </w:p>
        </w:tc>
        <w:tc>
          <w:tcPr>
            <w:tcW w:type="dxa" w:w="5760"/>
          </w:tcPr>
          <w:p>
            <w:r/>
          </w:p>
        </w:tc>
      </w:tr>
      <w:tr>
        <w:tc>
          <w:tcPr>
            <w:tcW w:type="dxa" w:w="3168"/>
            <w:shd w:val="clear" w:color="auto" w:fill="E8F0FA"/>
          </w:tcPr>
          <w:p>
            <w:r>
              <w:rPr>
                <w:b/>
              </w:rPr>
              <w:t>Date Adopted:</w:t>
            </w:r>
          </w:p>
        </w:tc>
        <w:tc>
          <w:tcPr>
            <w:tcW w:type="dxa" w:w="5760"/>
          </w:tcPr>
          <w:p>
            <w:r/>
          </w:p>
        </w:tc>
      </w:tr>
      <w:tr>
        <w:tc>
          <w:tcPr>
            <w:tcW w:type="dxa" w:w="3168"/>
            <w:shd w:val="clear" w:color="auto" w:fill="E8F0FA"/>
          </w:tcPr>
          <w:p>
            <w:r>
              <w:rPr>
                <w:b/>
              </w:rPr>
              <w:t>Recorded By (Secretary):</w:t>
            </w:r>
          </w:p>
        </w:tc>
        <w:tc>
          <w:tcPr>
            <w:tcW w:type="dxa" w:w="5760"/>
          </w:tcPr>
          <w:p>
            <w:r/>
          </w:p>
        </w:tc>
      </w:tr>
    </w:tbl>
    <w:p/>
    <w:p>
      <w:r>
        <w:rPr>
          <w:i/>
          <w:color w:val="555555"/>
          <w:sz w:val="18"/>
        </w:rPr>
        <w:t>Once adopted, Hunter Clary (Secretary) should record the vote in the official board minutes and retain a signed copy in the Foundation's permanent records.</w:t>
      </w:r>
    </w:p>
    <w:p/>
    <w:p>
      <w:pPr>
        <w:jc w:val="center"/>
      </w:pPr>
      <w:r>
        <w:rPr>
          <w:i/>
          <w:color w:val="888888"/>
          <w:sz w:val="16"/>
        </w:rPr>
        <w:t>Shepherd's Shield Safety Foundation  |  Policy 1: Confidentiality &amp; NDA  |  DRAFT — FOR BOARD REVIEW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