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4E78"/>
          <w:sz w:val="32"/>
        </w:rPr>
        <w:t>SHEPHERD'S SHIELD SAFETY FOUNDATION</w:t>
      </w:r>
    </w:p>
    <w:p>
      <w:pPr>
        <w:jc w:val="center"/>
      </w:pPr>
      <w:r>
        <w:rPr>
          <w:i/>
          <w:color w:val="555555"/>
          <w:sz w:val="20"/>
        </w:rPr>
        <w:t>"Protecting the Flock. Preserving Life. Glorifying God."</w:t>
      </w:r>
    </w:p>
    <w:p/>
    <w:p>
      <w:pPr>
        <w:jc w:val="center"/>
      </w:pPr>
      <w:r>
        <w:rPr>
          <w:b/>
          <w:color w:val="0B2A4A"/>
          <w:sz w:val="28"/>
        </w:rPr>
        <w:t>Policy 4 — Client Engagement &amp; Service Agreement Policy</w:t>
      </w:r>
    </w:p>
    <w:p>
      <w:pPr>
        <w:jc w:val="center"/>
      </w:pPr>
      <w:r>
        <w:rPr>
          <w:b/>
          <w:color w:val="CC0000"/>
          <w:sz w:val="20"/>
        </w:rPr>
        <w:t>DRAFT — FOR BOARD REVIEW AND APPROVAL</w:t>
      </w:r>
    </w:p>
    <w:p/>
    <w:tbl>
      <w:tblPr>
        <w:tblStyle w:val="TableGrid"/>
        <w:tblW w:type="auto" w:w="0"/>
        <w:tblLook w:firstColumn="1" w:firstRow="1" w:lastColumn="0" w:lastRow="0" w:noHBand="0" w:noVBand="1" w:val="04A0"/>
      </w:tblPr>
      <w:tblGrid>
        <w:gridCol w:w="4320"/>
        <w:gridCol w:w="4320"/>
      </w:tblGrid>
      <w:tr>
        <w:tc>
          <w:tcPr>
            <w:tcW w:type="dxa" w:w="4320"/>
            <w:shd w:val="clear" w:color="auto" w:fill="E8F0FA"/>
          </w:tcPr>
          <w:p>
            <w:r>
              <w:rPr>
                <w:b/>
              </w:rPr>
              <w:t>Effective Date:</w:t>
            </w:r>
          </w:p>
        </w:tc>
        <w:tc>
          <w:tcPr>
            <w:tcW w:type="dxa" w:w="4320"/>
          </w:tcPr>
          <w:p>
            <w:r>
              <w:t>Upon Board Adoption</w:t>
            </w:r>
          </w:p>
        </w:tc>
      </w:tr>
      <w:tr>
        <w:tc>
          <w:tcPr>
            <w:tcW w:type="dxa" w:w="4320"/>
            <w:shd w:val="clear" w:color="auto" w:fill="E8F0FA"/>
          </w:tcPr>
          <w:p>
            <w:r>
              <w:rPr>
                <w:b/>
              </w:rPr>
              <w:t>Applies To:</w:t>
            </w:r>
          </w:p>
        </w:tc>
        <w:tc>
          <w:tcPr>
            <w:tcW w:type="dxa" w:w="4320"/>
          </w:tcPr>
          <w:p>
            <w:r>
              <w:t>All assessment and training engagements with client churches/houses of worship</w:t>
            </w:r>
          </w:p>
        </w:tc>
      </w:tr>
      <w:tr>
        <w:tc>
          <w:tcPr>
            <w:tcW w:type="dxa" w:w="4320"/>
            <w:shd w:val="clear" w:color="auto" w:fill="E8F0FA"/>
          </w:tcPr>
          <w:p>
            <w:r>
              <w:rPr>
                <w:b/>
              </w:rPr>
              <w:t>Review Cycle:</w:t>
            </w:r>
          </w:p>
        </w:tc>
        <w:tc>
          <w:tcPr>
            <w:tcW w:type="dxa" w:w="4320"/>
          </w:tcPr>
          <w:p>
            <w:r>
              <w:t>Annual</w:t>
            </w:r>
          </w:p>
        </w:tc>
      </w:tr>
    </w:tbl>
    <w:p/>
    <w:p>
      <w:pPr>
        <w:spacing w:before="200"/>
      </w:pPr>
      <w:r>
        <w:rPr>
          <w:b/>
          <w:color w:val="1A4E78"/>
          <w:sz w:val="22"/>
        </w:rPr>
        <w:t>1. Purpose</w:t>
      </w:r>
    </w:p>
    <w:p>
      <w:r>
        <w:t>This policy establishes the standards, service definitions, and engagement requirements that govern all work performed by Shepherd's Shield Safety Foundation (SSSF) on behalf of client churches, synagogues, and houses of worship. It ensures transparency between SSSF and every client regarding the scope of services requested, the Foundation's actual costs — including travel — the estimated market value of those services, and how voluntary client donations are used to sustain the Foundation's mission.</w:t>
      </w:r>
    </w:p>
    <w:p>
      <w:pPr>
        <w:spacing w:before="200"/>
      </w:pPr>
      <w:r>
        <w:rPr>
          <w:b/>
          <w:color w:val="1A4E78"/>
          <w:sz w:val="22"/>
        </w:rPr>
        <w:t>2. SSSF Service Model — Donation-Funded, Not Fee-Based</w:t>
      </w:r>
    </w:p>
    <w:p>
      <w:r>
        <w:t>SSSF operates exclusively as a nonprofit charitable foundation. All services provided by SSSF are funded through donations — not client fees. No church, synagogue, or house of worship is ever required or expected to pay for any SSSF service.</w:t>
      </w:r>
    </w:p>
    <w:p/>
    <w:p>
      <w:r>
        <w:t>However, SSSF is committed to full financial transparency. Every client will receive a written Service Cost Disclosure that clearly shows:</w:t>
      </w:r>
    </w:p>
    <w:p>
      <w:pPr>
        <w:pStyle w:val="ListBullet"/>
        <w:ind w:left="360"/>
      </w:pPr>
      <w:r>
        <w:t>The SSSF internal cost to deliver the requested services (assessor/instructor pay, travel, materials)</w:t>
      </w:r>
    </w:p>
    <w:p>
      <w:pPr>
        <w:pStyle w:val="ListBullet"/>
        <w:ind w:left="360"/>
      </w:pPr>
      <w:r>
        <w:t>The estimated commercial market value of those same services if purchased from a private security firm</w:t>
      </w:r>
    </w:p>
    <w:p>
      <w:pPr>
        <w:pStyle w:val="ListBullet"/>
        <w:ind w:left="360"/>
      </w:pPr>
      <w:r>
        <w:t>A voluntary donation opportunity — allowing the client to contribute what they are able, with the understanding that any donation directly funds SSSF's ability to serve the next location</w:t>
      </w:r>
    </w:p>
    <w:p/>
    <w:p>
      <w:r>
        <w:rPr>
          <w:i/>
          <w:color w:val="1A4E78"/>
        </w:rPr>
        <w:t>There is no minimum donation. There is no expectation of payment. SSSF will fulfill every committed engagement as long as operating funds allow.</w:t>
      </w:r>
    </w:p>
    <w:p>
      <w:pPr>
        <w:spacing w:before="200"/>
      </w:pPr>
      <w:r>
        <w:rPr>
          <w:b/>
          <w:color w:val="1A4E78"/>
          <w:sz w:val="22"/>
        </w:rPr>
        <w:t>3. Service Definitions &amp; Cost Transparency</w:t>
      </w:r>
    </w:p>
    <w:p>
      <w:r>
        <w:t>SSSF offers five distinct service types. Each is separate. Clients must clearly identify which services they are requesting so SSSF can accurately disclose costs and plan staffing. Adding services after an engagement begins requires a revised Service Agreement.</w:t>
      </w:r>
    </w:p>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0B2A4A"/>
          </w:tcPr>
          <w:p>
            <w:r>
              <w:rPr>
                <w:b/>
                <w:color w:val="FFFFFF"/>
              </w:rPr>
              <w:t>Service Tier</w:t>
            </w:r>
          </w:p>
        </w:tc>
        <w:tc>
          <w:tcPr>
            <w:tcW w:type="dxa" w:w="2160"/>
            <w:shd w:val="clear" w:color="auto" w:fill="0B2A4A"/>
          </w:tcPr>
          <w:p>
            <w:r>
              <w:rPr>
                <w:b/>
                <w:color w:val="FFFFFF"/>
              </w:rPr>
              <w:t>Description</w:t>
            </w:r>
          </w:p>
        </w:tc>
        <w:tc>
          <w:tcPr>
            <w:tcW w:type="dxa" w:w="2160"/>
            <w:shd w:val="clear" w:color="auto" w:fill="0B2A4A"/>
          </w:tcPr>
          <w:p>
            <w:r>
              <w:rPr>
                <w:b/>
                <w:color w:val="FFFFFF"/>
              </w:rPr>
              <w:t>SSSF Internal Cost</w:t>
              <w:br/>
              <w:t>(excl. travel)</w:t>
            </w:r>
          </w:p>
        </w:tc>
        <w:tc>
          <w:tcPr>
            <w:tcW w:type="dxa" w:w="2160"/>
            <w:shd w:val="clear" w:color="auto" w:fill="0B2A4A"/>
          </w:tcPr>
          <w:p>
            <w:r>
              <w:rPr>
                <w:b/>
                <w:color w:val="FFFFFF"/>
              </w:rPr>
              <w:t>Estimated Market Value</w:t>
            </w:r>
          </w:p>
        </w:tc>
      </w:tr>
      <w:tr>
        <w:tc>
          <w:tcPr>
            <w:tcW w:type="dxa" w:w="2160"/>
            <w:shd w:val="clear" w:color="auto" w:fill="E8F0FA"/>
          </w:tcPr>
          <w:p>
            <w:r>
              <w:rPr>
                <w:b/>
              </w:rPr>
              <w:t>Tier 1</w:t>
              <w:br/>
              <w:t>Security Assessment</w:t>
            </w:r>
          </w:p>
        </w:tc>
        <w:tc>
          <w:tcPr>
            <w:tcW w:type="dxa" w:w="2160"/>
          </w:tcPr>
          <w:p>
            <w:r>
              <w:t>Full HOW Security Assessment: on-site walk-through, scored evaluation across all 10 security pillars, written summary report, and leadership debrief.</w:t>
            </w:r>
          </w:p>
        </w:tc>
        <w:tc>
          <w:tcPr>
            <w:tcW w:type="dxa" w:w="2160"/>
          </w:tcPr>
          <w:p>
            <w:r>
              <w:t>$500 – $800</w:t>
              <w:br/>
              <w:t>(assessor pay + materials)</w:t>
            </w:r>
          </w:p>
        </w:tc>
        <w:tc>
          <w:tcPr>
            <w:tcW w:type="dxa" w:w="2160"/>
          </w:tcPr>
          <w:p>
            <w:r>
              <w:t>$800 – $5,000+</w:t>
              <w:br/>
              <w:t>(varies by facility size)</w:t>
            </w:r>
          </w:p>
        </w:tc>
      </w:tr>
      <w:tr>
        <w:tc>
          <w:tcPr>
            <w:tcW w:type="dxa" w:w="2160"/>
            <w:shd w:val="clear" w:color="auto" w:fill="E8F0FA"/>
          </w:tcPr>
          <w:p>
            <w:r>
              <w:rPr>
                <w:b/>
              </w:rPr>
              <w:t>Tier 2</w:t>
              <w:br/>
              <w:t>Policy Development</w:t>
            </w:r>
          </w:p>
        </w:tc>
        <w:tc>
          <w:tcPr>
            <w:tcW w:type="dxa" w:w="2160"/>
          </w:tcPr>
          <w:p>
            <w:r>
              <w:t>Drafting custom security policies tailored to the congregation's specific needs, facility type, and team structure.</w:t>
            </w:r>
          </w:p>
        </w:tc>
        <w:tc>
          <w:tcPr>
            <w:tcW w:type="dxa" w:w="2160"/>
          </w:tcPr>
          <w:p>
            <w:r>
              <w:t>$400 – $600</w:t>
              <w:br/>
              <w:t>(policy consultant, ~8 hrs)</w:t>
            </w:r>
          </w:p>
        </w:tc>
        <w:tc>
          <w:tcPr>
            <w:tcW w:type="dxa" w:w="2160"/>
          </w:tcPr>
          <w:p>
            <w:r>
              <w:t>$1,500 – $3,000</w:t>
            </w:r>
          </w:p>
        </w:tc>
      </w:tr>
      <w:tr>
        <w:tc>
          <w:tcPr>
            <w:tcW w:type="dxa" w:w="2160"/>
            <w:shd w:val="clear" w:color="auto" w:fill="E8F0FA"/>
          </w:tcPr>
          <w:p>
            <w:r>
              <w:rPr>
                <w:b/>
              </w:rPr>
              <w:t>Tier 3</w:t>
              <w:br/>
              <w:t>Policy Training</w:t>
            </w:r>
          </w:p>
        </w:tc>
        <w:tc>
          <w:tcPr>
            <w:tcW w:type="dxa" w:w="2160"/>
          </w:tcPr>
          <w:p>
            <w:r>
              <w:t>Instructor-led sessions teaching staff and volunteer security teams how to understand, implement, and apply drafted policies.</w:t>
            </w:r>
          </w:p>
        </w:tc>
        <w:tc>
          <w:tcPr>
            <w:tcW w:type="dxa" w:w="2160"/>
          </w:tcPr>
          <w:p>
            <w:r>
              <w:t>$400 – $600/day</w:t>
              <w:br/>
              <w:t>(per instructor)</w:t>
            </w:r>
          </w:p>
        </w:tc>
        <w:tc>
          <w:tcPr>
            <w:tcW w:type="dxa" w:w="2160"/>
          </w:tcPr>
          <w:p>
            <w:r>
              <w:t>$800 – $1,500</w:t>
              <w:br/>
              <w:t>per session</w:t>
            </w:r>
          </w:p>
        </w:tc>
      </w:tr>
      <w:tr>
        <w:tc>
          <w:tcPr>
            <w:tcW w:type="dxa" w:w="2160"/>
            <w:shd w:val="clear" w:color="auto" w:fill="E8F0FA"/>
          </w:tcPr>
          <w:p>
            <w:r>
              <w:rPr>
                <w:b/>
              </w:rPr>
              <w:t>Tier 4</w:t>
              <w:br/>
              <w:t>Security Training</w:t>
            </w:r>
          </w:p>
        </w:tc>
        <w:tc>
          <w:tcPr>
            <w:tcW w:type="dxa" w:w="2160"/>
          </w:tcPr>
          <w:p>
            <w:r>
              <w:t>Professional security and protection training for congregation security teams — de-escalation, threat recognition, access control, emergency response.</w:t>
            </w:r>
          </w:p>
        </w:tc>
        <w:tc>
          <w:tcPr>
            <w:tcW w:type="dxa" w:w="2160"/>
          </w:tcPr>
          <w:p>
            <w:r>
              <w:t>$400 – $600/day</w:t>
              <w:br/>
              <w:t>(per instructor)</w:t>
            </w:r>
          </w:p>
        </w:tc>
        <w:tc>
          <w:tcPr>
            <w:tcW w:type="dxa" w:w="2160"/>
          </w:tcPr>
          <w:p>
            <w:r>
              <w:t>$1,000 – $2,500</w:t>
              <w:br/>
              <w:t>per session</w:t>
            </w:r>
          </w:p>
        </w:tc>
      </w:tr>
      <w:tr>
        <w:tc>
          <w:tcPr>
            <w:tcW w:type="dxa" w:w="2160"/>
            <w:shd w:val="clear" w:color="auto" w:fill="E8F0FA"/>
          </w:tcPr>
          <w:p>
            <w:r>
              <w:rPr>
                <w:b/>
              </w:rPr>
              <w:t>Tier 5</w:t>
              <w:br/>
              <w:t>Firearms Training</w:t>
            </w:r>
          </w:p>
        </w:tc>
        <w:tc>
          <w:tcPr>
            <w:tcW w:type="dxa" w:w="2160"/>
          </w:tcPr>
          <w:p>
            <w:r>
              <w:t>Live firearms instruction for authorized security team members — safe handling, range qualification, scenario-based decision-making.</w:t>
            </w:r>
          </w:p>
        </w:tc>
        <w:tc>
          <w:tcPr>
            <w:tcW w:type="dxa" w:w="2160"/>
          </w:tcPr>
          <w:p>
            <w:r>
              <w:t>$400 – $600/day</w:t>
              <w:br/>
              <w:t>+ range/ammunition fees</w:t>
            </w:r>
          </w:p>
        </w:tc>
        <w:tc>
          <w:tcPr>
            <w:tcW w:type="dxa" w:w="2160"/>
          </w:tcPr>
          <w:p>
            <w:r>
              <w:t>$1,500 – $3,000</w:t>
              <w:br/>
              <w:t>per session</w:t>
            </w:r>
          </w:p>
        </w:tc>
      </w:tr>
    </w:tbl>
    <w:p/>
    <w:p>
      <w:r>
        <w:rPr>
          <w:i/>
        </w:rPr>
        <w:t>Note: All costs above exclude travel. Travel costs are calculated separately per Section 4 and added to the total Service Cost Disclosure provided to the client.</w:t>
      </w:r>
    </w:p>
    <w:p>
      <w:pPr>
        <w:spacing w:before="200"/>
      </w:pPr>
      <w:r>
        <w:rPr>
          <w:b/>
          <w:color w:val="1A4E78"/>
          <w:sz w:val="22"/>
        </w:rPr>
        <w:t>4. Travel Costs &amp; Distance-Based Engagement Fees</w:t>
      </w:r>
    </w:p>
    <w:p>
      <w:r>
        <w:t>When a requesting church, synagogue, or house of worship is located outside SSSF's local service area, travel expenses become a real and significant cost to the Foundation. These costs are covered by SSSF donation funds — not by the client — but they are disclosed in full as part of the Service Cost Disclosure so the client understands the full investment SSSF is making on their behalf.</w:t>
      </w:r>
    </w:p>
    <w:p/>
    <w:p>
      <w:r>
        <w:rPr>
          <w:b/>
          <w:color w:val="1A4E78"/>
          <w:sz w:val="20"/>
        </w:rPr>
        <w:t>Travel Zones &amp; Estimated Costs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0B2A4A"/>
          </w:tcPr>
          <w:p>
            <w:r>
              <w:rPr>
                <w:b/>
                <w:color w:val="FFFFFF"/>
              </w:rPr>
              <w:t>Zone</w:t>
            </w:r>
          </w:p>
        </w:tc>
        <w:tc>
          <w:tcPr>
            <w:tcW w:type="dxa" w:w="2160"/>
            <w:shd w:val="clear" w:color="auto" w:fill="0B2A4A"/>
          </w:tcPr>
          <w:p>
            <w:r>
              <w:rPr>
                <w:b/>
                <w:color w:val="FFFFFF"/>
              </w:rPr>
              <w:t>Distance</w:t>
            </w:r>
          </w:p>
        </w:tc>
        <w:tc>
          <w:tcPr>
            <w:tcW w:type="dxa" w:w="2160"/>
            <w:shd w:val="clear" w:color="auto" w:fill="0B2A4A"/>
          </w:tcPr>
          <w:p>
            <w:r>
              <w:rPr>
                <w:b/>
                <w:color w:val="FFFFFF"/>
              </w:rPr>
              <w:t>Estimated Travel Cost</w:t>
            </w:r>
          </w:p>
        </w:tc>
        <w:tc>
          <w:tcPr>
            <w:tcW w:type="dxa" w:w="2160"/>
            <w:shd w:val="clear" w:color="auto" w:fill="0B2A4A"/>
          </w:tcPr>
          <w:p>
            <w:r>
              <w:rPr>
                <w:b/>
                <w:color w:val="FFFFFF"/>
              </w:rPr>
              <w:t>Notes</w:t>
            </w:r>
          </w:p>
        </w:tc>
      </w:tr>
      <w:tr>
        <w:tc>
          <w:tcPr>
            <w:tcW w:type="dxa" w:w="2160"/>
            <w:shd w:val="clear" w:color="auto" w:fill="E8F0FA"/>
          </w:tcPr>
          <w:p>
            <w:r>
              <w:rPr>
                <w:b/>
              </w:rPr>
              <w:t>Zone 1</w:t>
              <w:br/>
              <w:t>Local</w:t>
            </w:r>
          </w:p>
        </w:tc>
        <w:tc>
          <w:tcPr>
            <w:tcW w:type="dxa" w:w="2160"/>
          </w:tcPr>
          <w:p>
            <w:r>
              <w:t>Within 30 miles</w:t>
            </w:r>
          </w:p>
        </w:tc>
        <w:tc>
          <w:tcPr>
            <w:tcW w:type="dxa" w:w="2160"/>
          </w:tcPr>
          <w:p>
            <w:r>
              <w:t>Mileage reimbursement only</w:t>
              <w:br/>
              <w:t>(IRS standard rate)</w:t>
            </w:r>
          </w:p>
        </w:tc>
        <w:tc>
          <w:tcPr>
            <w:tcW w:type="dxa" w:w="2160"/>
          </w:tcPr>
          <w:p>
            <w:r>
              <w:t>No overnight. Same-day engagement.</w:t>
            </w:r>
          </w:p>
        </w:tc>
      </w:tr>
      <w:tr>
        <w:tc>
          <w:tcPr>
            <w:tcW w:type="dxa" w:w="2160"/>
            <w:shd w:val="clear" w:color="auto" w:fill="E8F0FA"/>
          </w:tcPr>
          <w:p>
            <w:r>
              <w:rPr>
                <w:b/>
              </w:rPr>
              <w:t>Zone 2</w:t>
              <w:br/>
              <w:t>Regional</w:t>
            </w:r>
          </w:p>
        </w:tc>
        <w:tc>
          <w:tcPr>
            <w:tcW w:type="dxa" w:w="2160"/>
          </w:tcPr>
          <w:p>
            <w:r>
              <w:t>30 – 150 miles</w:t>
            </w:r>
          </w:p>
        </w:tc>
        <w:tc>
          <w:tcPr>
            <w:tcW w:type="dxa" w:w="2160"/>
          </w:tcPr>
          <w:p>
            <w:r>
              <w:t>$50 – $150</w:t>
              <w:br/>
              <w:t>(fuel/mileage, tolls)</w:t>
            </w:r>
          </w:p>
        </w:tc>
        <w:tc>
          <w:tcPr>
            <w:tcW w:type="dxa" w:w="2160"/>
          </w:tcPr>
          <w:p>
            <w:r>
              <w:t>Same-day or overnight depending on schedule. Meal per diem may apply.</w:t>
            </w:r>
          </w:p>
        </w:tc>
      </w:tr>
      <w:tr>
        <w:tc>
          <w:tcPr>
            <w:tcW w:type="dxa" w:w="2160"/>
            <w:shd w:val="clear" w:color="auto" w:fill="E8F0FA"/>
          </w:tcPr>
          <w:p>
            <w:r>
              <w:rPr>
                <w:b/>
              </w:rPr>
              <w:t>Zone 3</w:t>
              <w:br/>
              <w:t>Extended Regional</w:t>
            </w:r>
          </w:p>
        </w:tc>
        <w:tc>
          <w:tcPr>
            <w:tcW w:type="dxa" w:w="2160"/>
          </w:tcPr>
          <w:p>
            <w:r>
              <w:t>150 – 300 miles</w:t>
            </w:r>
          </w:p>
        </w:tc>
        <w:tc>
          <w:tcPr>
            <w:tcW w:type="dxa" w:w="2160"/>
          </w:tcPr>
          <w:p>
            <w:r>
              <w:t>$150 – $400</w:t>
              <w:br/>
              <w:t>(fuel or flight + 1 night hotel + meals)</w:t>
            </w:r>
          </w:p>
        </w:tc>
        <w:tc>
          <w:tcPr>
            <w:tcW w:type="dxa" w:w="2160"/>
          </w:tcPr>
          <w:p>
            <w:r>
              <w:t>Overnight required. Hotel + per diem included.</w:t>
            </w:r>
          </w:p>
        </w:tc>
      </w:tr>
      <w:tr>
        <w:tc>
          <w:tcPr>
            <w:tcW w:type="dxa" w:w="2160"/>
            <w:shd w:val="clear" w:color="auto" w:fill="E8F0FA"/>
          </w:tcPr>
          <w:p>
            <w:r>
              <w:rPr>
                <w:b/>
              </w:rPr>
              <w:t>Zone 4</w:t>
              <w:br/>
              <w:t>Out of State</w:t>
            </w:r>
          </w:p>
        </w:tc>
        <w:tc>
          <w:tcPr>
            <w:tcW w:type="dxa" w:w="2160"/>
          </w:tcPr>
          <w:p>
            <w:r>
              <w:t>300+ miles / flight required</w:t>
            </w:r>
          </w:p>
        </w:tc>
        <w:tc>
          <w:tcPr>
            <w:tcW w:type="dxa" w:w="2160"/>
          </w:tcPr>
          <w:p>
            <w:r>
              <w:t>$400 – $1,200+</w:t>
              <w:br/>
              <w:t>(flight + hotel + rental car + per diem)</w:t>
            </w:r>
          </w:p>
        </w:tc>
        <w:tc>
          <w:tcPr>
            <w:tcW w:type="dxa" w:w="2160"/>
          </w:tcPr>
          <w:p>
            <w:r>
              <w:t>Board pre-approval required for all Zone 4 engagements before commitment.</w:t>
            </w:r>
          </w:p>
        </w:tc>
      </w:tr>
    </w:tbl>
    <w:p/>
    <w:p>
      <w:r>
        <w:t>All travel cost standards:</w:t>
      </w:r>
    </w:p>
    <w:p>
      <w:pPr>
        <w:pStyle w:val="ListBullet"/>
        <w:ind w:left="360"/>
      </w:pPr>
      <w:r>
        <w:t>Mileage is reimbursed at the current IRS standard mileage rate</w:t>
      </w:r>
    </w:p>
    <w:p>
      <w:pPr>
        <w:pStyle w:val="ListBullet"/>
        <w:ind w:left="360"/>
      </w:pPr>
      <w:r>
        <w:t>Hotel stays are reimbursed at reasonable rates not to exceed $150/night without Treasurer pre-approval</w:t>
      </w:r>
    </w:p>
    <w:p>
      <w:pPr>
        <w:pStyle w:val="ListBullet"/>
        <w:ind w:left="360"/>
      </w:pPr>
      <w:r>
        <w:t>Meal per diem is $50/day per assessor or instructor</w:t>
      </w:r>
    </w:p>
    <w:p>
      <w:pPr>
        <w:pStyle w:val="ListBullet"/>
        <w:ind w:left="360"/>
      </w:pPr>
      <w:r>
        <w:t>All travel receipts must be submitted to the Treasurer within 5 business days of the engagement</w:t>
      </w:r>
    </w:p>
    <w:p>
      <w:pPr>
        <w:pStyle w:val="ListBullet"/>
        <w:ind w:left="360"/>
      </w:pPr>
      <w:r>
        <w:t>Zone 4 (out of state) engagements require board pre-approval before SSSF makes any commitment to the client</w:t>
      </w:r>
    </w:p>
    <w:p>
      <w:pPr>
        <w:pStyle w:val="ListBullet"/>
        <w:ind w:left="360"/>
      </w:pPr>
      <w:r>
        <w:t>Multi-day engagements (e.g., assessment + training across consecutive days) may combine zones and will be itemized in the Service Cost Disclosure</w:t>
      </w:r>
    </w:p>
    <w:p/>
    <w:p>
      <w:r>
        <w:rPr>
          <w:i/>
          <w:color w:val="1A4E78"/>
        </w:rPr>
        <w:t>Travel costs will be shown as a separate line item in every Service Cost Disclosure so clients fully understand what SSSF is investing to serve their community — and so they can factor that into any voluntary donation they choose to make.</w:t>
      </w:r>
    </w:p>
    <w:p>
      <w:pPr>
        <w:spacing w:before="200"/>
      </w:pPr>
      <w:r>
        <w:rPr>
          <w:b/>
          <w:color w:val="1A4E78"/>
          <w:sz w:val="22"/>
        </w:rPr>
        <w:t>5. SSSF Instructors &amp; Assessors</w:t>
      </w:r>
    </w:p>
    <w:p>
      <w:r>
        <w:t>All SSSF services are delivered by SSSF-authorized assessors and instructors acting on behalf of the Foundation — not as representatives of any private security company or for-profit business. As the Foundation grows, SSSF will train and certify additional instructors to expand service capacity across multiple locations.</w:t>
      </w:r>
    </w:p>
    <w:p>
      <w:pPr>
        <w:pStyle w:val="ListBullet"/>
        <w:ind w:left="360"/>
      </w:pPr>
      <w:r>
        <w:t>All assessors and instructors are compensated by SSSF from donation funds at rates approved by the Board</w:t>
      </w:r>
    </w:p>
    <w:p>
      <w:pPr>
        <w:pStyle w:val="ListBullet"/>
        <w:ind w:left="360"/>
      </w:pPr>
      <w:r>
        <w:t>No assessor or instructor may accept direct payment from a client church/house of worship for services rendered under an SSSF engagement</w:t>
      </w:r>
    </w:p>
    <w:p>
      <w:pPr>
        <w:pStyle w:val="ListBullet"/>
        <w:ind w:left="360"/>
      </w:pPr>
      <w:r>
        <w:t>Any instructor who also operates a separate private security or training business must ensure no commercial solicitation occurs during or immediately following an SSSF engagement</w:t>
      </w:r>
    </w:p>
    <w:p>
      <w:pPr>
        <w:spacing w:before="200"/>
      </w:pPr>
      <w:r>
        <w:rPr>
          <w:b/>
          <w:color w:val="1A4E78"/>
          <w:sz w:val="22"/>
        </w:rPr>
        <w:t>6. Required Steps Before Any Engagement Begins</w:t>
      </w:r>
    </w:p>
    <w:p>
      <w:pPr>
        <w:pStyle w:val="ListBullet"/>
        <w:ind w:left="360"/>
      </w:pPr>
      <w:r>
        <w:rPr>
          <w:b/>
        </w:rPr>
        <w:t xml:space="preserve">Intake Conversation: </w:t>
      </w:r>
      <w:r>
        <w:t>SSSF conducts a brief conversation with church/congregation leadership to understand facility type, size, attendance, location, and which service tiers are being requested.</w:t>
      </w:r>
    </w:p>
    <w:p>
      <w:pPr>
        <w:pStyle w:val="ListBullet"/>
        <w:ind w:left="360"/>
      </w:pPr>
      <w:r>
        <w:rPr>
          <w:b/>
        </w:rPr>
        <w:t xml:space="preserve">Service Agreement: </w:t>
      </w:r>
      <w:r>
        <w:t>A written Service Agreement is completed identifying all requested service tiers, the engagement date(s), point of contact, and the SSSF-assigned assessor or instructor.</w:t>
      </w:r>
    </w:p>
    <w:p>
      <w:pPr>
        <w:pStyle w:val="ListBullet"/>
        <w:ind w:left="360"/>
      </w:pPr>
      <w:r>
        <w:rPr>
          <w:b/>
        </w:rPr>
        <w:t xml:space="preserve">Assessment Authorization Form: </w:t>
      </w:r>
      <w:r>
        <w:t>The senior pastor, rabbi, or designated faith community authority must sign an Authorization Form granting SSSF permission to access the facility. No on-site work begins without this form.</w:t>
      </w:r>
    </w:p>
    <w:p>
      <w:pPr>
        <w:pStyle w:val="ListBullet"/>
        <w:ind w:left="360"/>
      </w:pPr>
      <w:r>
        <w:rPr>
          <w:b/>
        </w:rPr>
        <w:t xml:space="preserve">Service Cost Disclosure: </w:t>
      </w:r>
      <w:r>
        <w:t>SSSF provides a written breakdown of internal costs (including itemized travel costs), market values for all requested tiers, and the voluntary donation opportunity.</w:t>
      </w:r>
    </w:p>
    <w:p>
      <w:pPr>
        <w:pStyle w:val="ListBullet"/>
        <w:ind w:left="360"/>
      </w:pPr>
      <w:r>
        <w:rPr>
          <w:b/>
        </w:rPr>
        <w:t xml:space="preserve">Budget Confirmation: </w:t>
      </w:r>
      <w:r>
        <w:t>SSSF confirms that current donation reserves are sufficient to cover all service and travel costs for the engagement before committing to a date.</w:t>
      </w:r>
    </w:p>
    <w:p>
      <w:pPr>
        <w:pStyle w:val="ListBullet"/>
        <w:ind w:left="360"/>
      </w:pPr>
      <w:r>
        <w:rPr>
          <w:b/>
        </w:rPr>
        <w:t xml:space="preserve">Zone 4 Board Pre-Approval: </w:t>
      </w:r>
      <w:r>
        <w:t>Any out-of-state engagement must receive board approval before SSSF makes a commitment to the client.</w:t>
      </w:r>
    </w:p>
    <w:p>
      <w:pPr>
        <w:spacing w:before="200"/>
      </w:pPr>
      <w:r>
        <w:rPr>
          <w:b/>
          <w:color w:val="1A4E78"/>
          <w:sz w:val="22"/>
        </w:rPr>
        <w:t>7. Voluntary Donation Framework</w:t>
      </w:r>
    </w:p>
    <w:p>
      <w:r>
        <w:t>Following delivery of the Service Cost Disclosure, the client may choose to make a voluntary donation to SSSF in any amount they are able. The following guidelines apply:</w:t>
      </w:r>
    </w:p>
    <w:p>
      <w:pPr>
        <w:pStyle w:val="ListBullet"/>
        <w:ind w:left="360"/>
      </w:pPr>
      <w:r>
        <w:t>Donations are never required, expected, or tied to the quality or delivery of services</w:t>
      </w:r>
    </w:p>
    <w:p>
      <w:pPr>
        <w:pStyle w:val="ListBullet"/>
        <w:ind w:left="360"/>
      </w:pPr>
      <w:r>
        <w:t>Donations may be made before, during, or after the engagement</w:t>
      </w:r>
    </w:p>
    <w:p>
      <w:pPr>
        <w:pStyle w:val="ListBullet"/>
        <w:ind w:left="360"/>
      </w:pPr>
      <w:r>
        <w:t>All donations are accepted under SSSF's Donation Acceptance Policy (Policy 5)</w:t>
      </w:r>
    </w:p>
    <w:p>
      <w:pPr>
        <w:pStyle w:val="ListBullet"/>
        <w:ind w:left="360"/>
      </w:pPr>
      <w:r>
        <w:t>Any donation received is returned to the SSSF operating fund and used exclusively to fund future assessments, training engagements, and travel costs at other locations</w:t>
      </w:r>
    </w:p>
    <w:p>
      <w:pPr>
        <w:pStyle w:val="ListBullet"/>
        <w:ind w:left="360"/>
      </w:pPr>
      <w:r>
        <w:t>SSSF will provide a written donation acknowledgment to every donor consistent with IRS requirements</w:t>
      </w:r>
    </w:p>
    <w:p/>
    <w:p>
      <w:r>
        <w:rPr>
          <w:i/>
          <w:color w:val="1A4E78"/>
        </w:rPr>
        <w:t>SSSF's goal is simple: every dollar donated by one congregation helps protect another. The more support we receive, the more communities we can serve — including those far from home.</w:t>
      </w:r>
    </w:p>
    <w:p>
      <w:pPr>
        <w:spacing w:before="200"/>
      </w:pPr>
      <w:r>
        <w:rPr>
          <w:b/>
          <w:color w:val="1A4E78"/>
          <w:sz w:val="22"/>
        </w:rPr>
        <w:t>8. Budget Sustainability &amp; Engagement Limits</w:t>
      </w:r>
    </w:p>
    <w:p>
      <w:r>
        <w:t>SSSF is committed to fulfilling every engagement it commits to. To protect that commitment:</w:t>
      </w:r>
    </w:p>
    <w:p>
      <w:pPr>
        <w:pStyle w:val="ListBullet"/>
        <w:ind w:left="360"/>
      </w:pPr>
      <w:r>
        <w:t>SSSF will only schedule engagements when current donation reserves are sufficient to cover all anticipated service AND travel costs</w:t>
      </w:r>
    </w:p>
    <w:p>
      <w:pPr>
        <w:pStyle w:val="ListBullet"/>
        <w:ind w:left="360"/>
      </w:pPr>
      <w:r>
        <w:t>If operating funds are insufficient to cover a new engagement, SSSF will place the requesting organization on a waitlist and notify them of anticipated availability</w:t>
      </w:r>
    </w:p>
    <w:p>
      <w:pPr>
        <w:pStyle w:val="ListBullet"/>
        <w:ind w:left="360"/>
      </w:pPr>
      <w:r>
        <w:t>SSSF will not take on debt or deficits to fund engagements — all services must be covered by existing donation reserves</w:t>
      </w:r>
    </w:p>
    <w:p>
      <w:pPr>
        <w:pStyle w:val="ListBullet"/>
        <w:ind w:left="360"/>
      </w:pPr>
      <w:r>
        <w:t>The Treasurer (Kevin Bray) will report current operating reserves and projected engagement capacity — including travel budget — at every board meeting</w:t>
      </w:r>
    </w:p>
    <w:p>
      <w:pPr>
        <w:spacing w:before="200"/>
      </w:pPr>
      <w:r>
        <w:rPr>
          <w:b/>
          <w:color w:val="1A4E78"/>
          <w:sz w:val="22"/>
        </w:rPr>
        <w:t>9. Scope Limitations</w:t>
      </w:r>
    </w:p>
    <w:p>
      <w:pPr>
        <w:pStyle w:val="ListBullet"/>
        <w:ind w:left="360"/>
      </w:pPr>
      <w:r>
        <w:t>SSSF assessments and training provide observations, findings, and recommendations — they do not constitute a guarantee of safety or security</w:t>
      </w:r>
    </w:p>
    <w:p>
      <w:pPr>
        <w:pStyle w:val="ListBullet"/>
        <w:ind w:left="360"/>
      </w:pPr>
      <w:r>
        <w:t>SSSF assessors and instructors are advisors — not law enforcement, code enforcement, or legal counsel</w:t>
      </w:r>
    </w:p>
    <w:p>
      <w:pPr>
        <w:pStyle w:val="ListBullet"/>
        <w:ind w:left="360"/>
      </w:pPr>
      <w:r>
        <w:t>SSSF does not install, sell, or maintain security equipment or systems</w:t>
      </w:r>
    </w:p>
    <w:p>
      <w:pPr>
        <w:pStyle w:val="ListBullet"/>
        <w:ind w:left="360"/>
      </w:pPr>
      <w:r>
        <w:t>SSSF is not responsible for incidents occurring before, during, or after any engagement regardless of whether recommendations were implemented</w:t>
      </w:r>
    </w:p>
    <w:p>
      <w:pPr>
        <w:pStyle w:val="ListBullet"/>
        <w:ind w:left="360"/>
      </w:pPr>
      <w:r>
        <w:t>SSSF's liability for any engagement is limited to the documented SSSF cost of delivering that engagement, excluding travel</w:t>
      </w:r>
    </w:p>
    <w:p>
      <w:pPr>
        <w:spacing w:before="200"/>
      </w:pPr>
      <w:r>
        <w:rPr>
          <w:b/>
          <w:color w:val="1A4E78"/>
          <w:sz w:val="22"/>
        </w:rPr>
        <w:t>10. Pilot Engagement Designation</w:t>
      </w:r>
    </w:p>
    <w:p>
      <w:r>
        <w:t>During the Foundation's initial development phase, certain engagements may be designated as official pilot engagements. Pilot clients agree to:</w:t>
      </w:r>
    </w:p>
    <w:p>
      <w:pPr>
        <w:pStyle w:val="ListBullet"/>
        <w:ind w:left="360"/>
      </w:pPr>
      <w:r>
        <w:t>Provide written feedback on the assessment or training process to help SSSF refine its programs</w:t>
      </w:r>
    </w:p>
    <w:p>
      <w:pPr>
        <w:pStyle w:val="ListBullet"/>
        <w:ind w:left="360"/>
      </w:pPr>
      <w:r>
        <w:t>Grant SSSF permission to use aggregate, non-identifying findings for program development and donor reporting</w:t>
      </w:r>
    </w:p>
    <w:p>
      <w:r>
        <w:t>No confidential facility details will be used in any public materials without explicit written consent from the client.</w:t>
      </w:r>
    </w:p>
    <w:p/>
    <w:p>
      <w:r>
        <w:rPr>
          <w:b/>
          <w:color w:val="1A4E78"/>
          <w:sz w:val="22"/>
        </w:rPr>
        <w:t>BOARD ADOPTION RECORD</w:t>
      </w:r>
    </w:p>
    <w:tbl>
      <w:tblPr>
        <w:tblStyle w:val="TableGrid"/>
        <w:tblW w:type="auto" w:w="0"/>
        <w:tblLook w:firstColumn="1" w:firstRow="1" w:lastColumn="0" w:lastRow="0" w:noHBand="0" w:noVBand="1" w:val="04A0"/>
      </w:tblPr>
      <w:tblGrid>
        <w:gridCol w:w="4320"/>
        <w:gridCol w:w="4320"/>
      </w:tblGrid>
      <w:tr>
        <w:tc>
          <w:tcPr>
            <w:tcW w:type="dxa" w:w="3168"/>
            <w:shd w:val="clear" w:color="auto" w:fill="E8F0FA"/>
          </w:tcPr>
          <w:p>
            <w:r>
              <w:rPr>
                <w:b/>
              </w:rPr>
              <w:t>Motion Made By:</w:t>
            </w:r>
          </w:p>
        </w:tc>
        <w:tc>
          <w:tcPr>
            <w:tcW w:type="dxa" w:w="5760"/>
          </w:tcPr>
          <w:p>
            <w:r/>
          </w:p>
        </w:tc>
      </w:tr>
      <w:tr>
        <w:tc>
          <w:tcPr>
            <w:tcW w:type="dxa" w:w="3168"/>
            <w:shd w:val="clear" w:color="auto" w:fill="E8F0FA"/>
          </w:tcPr>
          <w:p>
            <w:r>
              <w:rPr>
                <w:b/>
              </w:rPr>
              <w:t>Seconded By:</w:t>
            </w:r>
          </w:p>
        </w:tc>
        <w:tc>
          <w:tcPr>
            <w:tcW w:type="dxa" w:w="5760"/>
          </w:tcPr>
          <w:p>
            <w:r/>
          </w:p>
        </w:tc>
      </w:tr>
      <w:tr>
        <w:tc>
          <w:tcPr>
            <w:tcW w:type="dxa" w:w="3168"/>
            <w:shd w:val="clear" w:color="auto" w:fill="E8F0FA"/>
          </w:tcPr>
          <w:p>
            <w:r>
              <w:rPr>
                <w:b/>
              </w:rPr>
              <w:t>Vote (Yea / Nay / Abstain):</w:t>
            </w:r>
          </w:p>
        </w:tc>
        <w:tc>
          <w:tcPr>
            <w:tcW w:type="dxa" w:w="5760"/>
          </w:tcPr>
          <w:p>
            <w:r/>
          </w:p>
        </w:tc>
      </w:tr>
      <w:tr>
        <w:tc>
          <w:tcPr>
            <w:tcW w:type="dxa" w:w="3168"/>
            <w:shd w:val="clear" w:color="auto" w:fill="E8F0FA"/>
          </w:tcPr>
          <w:p>
            <w:r>
              <w:rPr>
                <w:b/>
              </w:rPr>
              <w:t>Date Adopted:</w:t>
            </w:r>
          </w:p>
        </w:tc>
        <w:tc>
          <w:tcPr>
            <w:tcW w:type="dxa" w:w="5760"/>
          </w:tcPr>
          <w:p>
            <w:r/>
          </w:p>
        </w:tc>
      </w:tr>
      <w:tr>
        <w:tc>
          <w:tcPr>
            <w:tcW w:type="dxa" w:w="3168"/>
            <w:shd w:val="clear" w:color="auto" w:fill="E8F0FA"/>
          </w:tcPr>
          <w:p>
            <w:r>
              <w:rPr>
                <w:b/>
              </w:rPr>
              <w:t>Recorded By (Secretary):</w:t>
            </w:r>
          </w:p>
        </w:tc>
        <w:tc>
          <w:tcPr>
            <w:tcW w:type="dxa" w:w="5760"/>
          </w:tcPr>
          <w:p>
            <w:r/>
          </w:p>
        </w:tc>
      </w:tr>
    </w:tbl>
    <w:p/>
    <w:p>
      <w:r>
        <w:rPr>
          <w:i/>
          <w:color w:val="555555"/>
          <w:sz w:val="18"/>
        </w:rPr>
        <w:t>Once adopted, Hunter Clary (Secretary) should record the vote in the official board minutes and retain a signed copy in the Foundation's permanent records.</w:t>
      </w:r>
    </w:p>
    <w:p/>
    <w:p>
      <w:pPr>
        <w:jc w:val="center"/>
      </w:pPr>
      <w:r>
        <w:rPr>
          <w:i/>
          <w:color w:val="888888"/>
          <w:sz w:val="16"/>
        </w:rPr>
        <w:t>Shepherd's Shield Safety Foundation  |  Policy 4: Client Engagement &amp; Service Agreement  |  DRAFT — FOR BOARD REVIEW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