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4536"/>
        <w:gridCol w:w="4536"/>
      </w:tblGrid>
      <w:tr>
        <w:tc>
          <w:tcPr>
            <w:tcW w:type="dxa" w:w="1872"/>
            <w:shd w:val="clear" w:color="auto" w:fill="0B2A4A"/>
          </w:tcPr>
          <w:p>
            <w:pPr>
              <w:jc w:val="center"/>
            </w:pPr>
            <w:r/>
            <w:r>
              <w:drawing>
                <wp:inline xmlns:a="http://schemas.openxmlformats.org/drawingml/2006/main" xmlns:pic="http://schemas.openxmlformats.org/drawingml/2006/picture">
                  <wp:extent cx="1005840" cy="1005840"/>
                  <wp:docPr id="1" name="Picture 1"/>
                  <wp:cNvGraphicFramePr>
                    <a:graphicFrameLocks noChangeAspect="1"/>
                  </wp:cNvGraphicFramePr>
                  <a:graphic>
                    <a:graphicData uri="http://schemas.openxmlformats.org/drawingml/2006/picture">
                      <pic:pic>
                        <pic:nvPicPr>
                          <pic:cNvPr id="0" name="knight-logo-fixed-consistent-face-and-armor.png"/>
                          <pic:cNvPicPr/>
                        </pic:nvPicPr>
                        <pic:blipFill>
                          <a:blip r:embed="rId10"/>
                          <a:stretch>
                            <a:fillRect/>
                          </a:stretch>
                        </pic:blipFill>
                        <pic:spPr>
                          <a:xfrm>
                            <a:off x="0" y="0"/>
                            <a:ext cx="1005840" cy="1005840"/>
                          </a:xfrm>
                          <a:prstGeom prst="rect"/>
                        </pic:spPr>
                      </pic:pic>
                    </a:graphicData>
                  </a:graphic>
                </wp:inline>
              </w:drawing>
            </w:r>
          </w:p>
        </w:tc>
        <w:tc>
          <w:tcPr>
            <w:tcW w:type="dxa" w:w="7920"/>
            <w:shd w:val="clear" w:color="auto" w:fill="0B2A4A"/>
          </w:tcPr>
          <w:p>
            <w:pPr>
              <w:jc w:val="left"/>
            </w:pPr>
            <w:r>
              <w:rPr>
                <w:b/>
                <w:color w:val="FFFFFF"/>
                <w:sz w:val="28"/>
              </w:rPr>
            </w:r>
            <w:r>
              <w:rPr>
                <w:i/>
                <w:color w:val="6795AF"/>
                <w:sz w:val="18"/>
              </w:rPr>
            </w:r>
            <w:r>
              <w:rPr>
                <w:b/>
                <w:color w:val="FFFFFF"/>
                <w:sz w:val="28"/>
              </w:rPr>
              <w:t>SHEPHERD'S SHIELD SAFETY FOUNDATION</w:t>
              <w:br/>
            </w:r>
            <w:r>
              <w:rPr>
                <w:i/>
                <w:color w:val="6795AF"/>
                <w:sz w:val="18"/>
              </w:rPr>
              <w:t>"Protecting the Flock. Preserving Life. Glorifying God."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pPr>
              <w:jc w:val="center"/>
            </w:pPr>
            <w:r>
              <w:rPr>
                <w:b/>
                <w:color w:val="F0B842"/>
                <w:sz w:val="28"/>
              </w:rPr>
            </w:r>
            <w:r>
              <w:rPr>
                <w:b/>
                <w:color w:val="F0B842"/>
                <w:sz w:val="28"/>
              </w:rPr>
              <w:t>MODULE 1  |  SSSF MISSION, VALUES &amp; POLICIES</w:t>
            </w:r>
          </w:p>
        </w:tc>
      </w:tr>
    </w:tbl>
    <w:p/>
    <w:p>
      <w:pPr>
        <w:jc w:val="center"/>
      </w:pPr>
      <w:r>
        <w:rPr>
          <w:i/>
          <w:color w:val="555555"/>
          <w:sz w:val="20"/>
        </w:rPr>
        <w:t>Understanding Who We Are and What We Stand For</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LEARNING OBJECTIVES</w:t>
            </w:r>
          </w:p>
        </w:tc>
      </w:tr>
    </w:tbl>
    <w:p/>
    <w:p>
      <w:pPr>
        <w:spacing w:after="80"/>
      </w:pPr>
      <w:r>
        <w:t>By the end of this module, you will be able to:</w:t>
      </w:r>
    </w:p>
    <w:p>
      <w:pPr>
        <w:pStyle w:val="ListBullet"/>
        <w:ind w:left="288"/>
      </w:pPr>
      <w:r>
        <w:t>Describe SSSF's mission, vision, and faith-centered philosophy in your own words</w:t>
      </w:r>
    </w:p>
    <w:p>
      <w:pPr>
        <w:pStyle w:val="ListBullet"/>
        <w:ind w:left="288"/>
      </w:pPr>
      <w:r>
        <w:t>Explain why houses of worship are uniquely vulnerable and why SSSF exists</w:t>
      </w:r>
    </w:p>
    <w:p>
      <w:pPr>
        <w:pStyle w:val="ListBullet"/>
        <w:ind w:left="288"/>
      </w:pPr>
      <w:r>
        <w:t>Identify all six SSSF core policies and what each one governs</w:t>
      </w:r>
    </w:p>
    <w:p>
      <w:pPr>
        <w:pStyle w:val="ListBullet"/>
        <w:ind w:left="288"/>
      </w:pPr>
      <w:r>
        <w:t>Articulate the assessor's role as an advisor — not an enforcer</w:t>
      </w:r>
    </w:p>
    <w:p>
      <w:pPr>
        <w:pStyle w:val="ListBullet"/>
        <w:ind w:left="288"/>
      </w:pPr>
      <w:r>
        <w:t>Explain the volunteer commitment and what it communicates about SSSF's values</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1.1 — WHO IS SHEPHERD'S SHIELD SAFETY FOUNDATION?</w:t>
            </w:r>
          </w:p>
        </w:tc>
      </w:tr>
    </w:tbl>
    <w:p/>
    <w:p>
      <w:pPr>
        <w:spacing w:after="80"/>
      </w:pPr>
      <w:r>
        <w:t>Shepherd's Shield Safety Foundation (SSSF) is a Florida-based nonprofit 501(c)(3) organization with a singular mission: to protect the people of God wherever they gather to worship. We exist because houses of worship — churches, synagogues, and faith communities of all kinds — are some of the most open, welcoming, and therefore vulnerable places in our society.</w:t>
      </w:r>
    </w:p>
    <w:p>
      <w:pPr>
        <w:spacing w:after="80"/>
      </w:pPr>
      <w:r>
        <w:t>SSSF was founded by Montague Hall, a 30+ year veteran of law enforcement, military service, and security training, alongside a founding board of men who share a deep faith and a conviction that protecting God's people is not just a career — it is a calling.</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SSSF Mission Statement</w:t>
              <w:br/>
            </w:r>
            <w:r>
              <w:rPr>
                <w:sz w:val="20"/>
              </w:rPr>
              <w:t>To strengthen the safety and emergency readiness of churches, synagogues, and houses of worship nationwide by providing donation-funded training, on-site assessments, written action plans, and security guidance — enabling congregations to worship, gather, learn, and serve in peace.</w:t>
            </w:r>
          </w:p>
        </w:tc>
      </w:tr>
    </w:tbl>
    <w:p/>
    <w:p>
      <w:pPr>
        <w:spacing w:before="160"/>
      </w:pPr>
      <w:r>
        <w:rPr>
          <w:b/>
          <w:color w:val="1A4E78"/>
          <w:sz w:val="22"/>
        </w:rPr>
        <w:t>Our Core Operating Principle</w:t>
      </w:r>
    </w:p>
    <w:p>
      <w:pPr>
        <w:spacing w:after="80"/>
      </w:pPr>
      <w:r>
        <w:t>Everything SSSF does is guided by a de-escalation-first philosophy. We are not here to militarize houses of worship. We are here to help them understand their vulnerabilities, strengthen their readiness, and make sound, calm decisions when it matters most. We train peacekeepers — not aggressors.</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1.2 — WHY HOUSES OF WORSHIP ARE VULNERABLE</w:t>
            </w:r>
          </w:p>
        </w:tc>
      </w:tr>
    </w:tbl>
    <w:p/>
    <w:p>
      <w:pPr>
        <w:spacing w:after="80"/>
      </w:pPr>
      <w:r>
        <w:t>Faith communities operate on principles of openness, welcome, and trust. These are beautiful values — and they can also create real security gaps. As an assessor, you must understand why the environment you are walking into is inherently different from a school, a government building, or a corporate office.</w:t>
      </w:r>
    </w:p>
    <w:p>
      <w:pPr>
        <w:pStyle w:val="ListBullet"/>
        <w:ind w:left="288"/>
      </w:pPr>
      <w:r>
        <w:t>Open-door culture: Most congregations actively welcome strangers. Few screen who enters.</w:t>
      </w:r>
    </w:p>
    <w:p>
      <w:pPr>
        <w:pStyle w:val="ListBullet"/>
        <w:ind w:left="288"/>
      </w:pPr>
      <w:r>
        <w:t>Predictable schedules: Services happen at the same time, same day, every week — making planning easy for a threat actor.</w:t>
      </w:r>
    </w:p>
    <w:p>
      <w:pPr>
        <w:pStyle w:val="ListBullet"/>
        <w:ind w:left="288"/>
      </w:pPr>
      <w:r>
        <w:t>Limited security resources: Most congregations have no trained security team, no protocols, and no budget for security infrastructure.</w:t>
      </w:r>
    </w:p>
    <w:p>
      <w:pPr>
        <w:pStyle w:val="ListBullet"/>
        <w:ind w:left="288"/>
      </w:pPr>
      <w:r>
        <w:t>Emotional environment: People are in a vulnerable, spiritually open state during worship — not in a heightened-awareness mindset.</w:t>
      </w:r>
    </w:p>
    <w:p>
      <w:pPr>
        <w:pStyle w:val="ListBullet"/>
        <w:ind w:left="288"/>
      </w:pPr>
      <w:r>
        <w:t>Children and elderly present: Houses of worship typically have a high proportion of vulnerable populations.</w:t>
      </w:r>
    </w:p>
    <w:p>
      <w:pPr>
        <w:pStyle w:val="ListBullet"/>
        <w:ind w:left="288"/>
      </w:pPr>
      <w:r>
        <w:t>Limited law enforcement response: Rural or suburban locations may have extended emergency response times.</w:t>
      </w:r>
    </w:p>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Assessor Mindset</w:t>
              <w:br/>
            </w:r>
            <w:r>
              <w:rPr>
                <w:sz w:val="20"/>
              </w:rPr>
              <w:t>Your job is not to frighten congregations about these realities. Your job is to help them see these realities clearly — and take practical, manageable steps to address them. Lead with compassion. Follow with facts.</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1.3 — SSSF'S FAITH-CENTERED PHILOSOPHY</w:t>
            </w:r>
          </w:p>
        </w:tc>
      </w:tr>
    </w:tbl>
    <w:p/>
    <w:p>
      <w:pPr>
        <w:spacing w:after="80"/>
      </w:pPr>
      <w:r>
        <w:t>SSSF does not approach security as a purely tactical or commercial exercise. We believe that proper security training, grounded in faith and a commitment to the preservation of life, transforms ordinary people into responsible protectors. The goal is not to create warriors — it is to develop peacekeepers who act with clarity, compassion, and sound judgment under pressure.</w:t>
      </w:r>
    </w:p>
    <w:p>
      <w:pPr>
        <w:spacing w:after="80"/>
      </w:pPr>
      <w:r>
        <w:t>As an SSSF assessor, you carry this philosophy into every engagement. You are not just evaluating a building. You are serving a community of faith. Every note you take, every score you record, and every recommendation you make should reflect the gravity and the grace of that responsibility.</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1.4 — THE FOUNDING BOARD</w:t>
            </w:r>
          </w:p>
        </w:tc>
      </w:tr>
    </w:tbl>
    <w:p/>
    <w:p>
      <w:pPr>
        <w:spacing w:after="80"/>
      </w:pPr>
      <w:r>
        <w:t>SSSF is governed by a founding board of five Christian men who bring diverse professional experience and a shared faith commitment to the foundation's work:</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B2A4A"/>
          </w:tcPr>
          <w:p>
            <w:r>
              <w:rPr>
                <w:b/>
                <w:color w:val="FFFFFF"/>
              </w:rPr>
              <w:t>Name</w:t>
            </w:r>
          </w:p>
        </w:tc>
        <w:tc>
          <w:tcPr>
            <w:tcW w:type="dxa" w:w="3024"/>
            <w:shd w:val="clear" w:color="auto" w:fill="0B2A4A"/>
          </w:tcPr>
          <w:p>
            <w:r>
              <w:rPr>
                <w:b/>
                <w:color w:val="FFFFFF"/>
              </w:rPr>
              <w:t>Role</w:t>
            </w:r>
          </w:p>
        </w:tc>
        <w:tc>
          <w:tcPr>
            <w:tcW w:type="dxa" w:w="3024"/>
            <w:shd w:val="clear" w:color="auto" w:fill="0B2A4A"/>
          </w:tcPr>
          <w:p>
            <w:r>
              <w:rPr>
                <w:b/>
                <w:color w:val="FFFFFF"/>
              </w:rPr>
              <w:t>Background</w:t>
            </w:r>
          </w:p>
        </w:tc>
      </w:tr>
      <w:tr>
        <w:tc>
          <w:tcPr>
            <w:tcW w:type="dxa" w:w="3024"/>
            <w:shd w:val="clear" w:color="auto" w:fill="E8F0FA"/>
          </w:tcPr>
          <w:p>
            <w:r>
              <w:rPr>
                <w:b/>
              </w:rPr>
              <w:t>Montague Hall</w:t>
            </w:r>
          </w:p>
        </w:tc>
        <w:tc>
          <w:tcPr>
            <w:tcW w:type="dxa" w:w="3024"/>
          </w:tcPr>
          <w:p>
            <w:r>
              <w:t>President / Chairman</w:t>
            </w:r>
          </w:p>
        </w:tc>
        <w:tc>
          <w:tcPr>
            <w:tcW w:type="dxa" w:w="3024"/>
          </w:tcPr>
          <w:p>
            <w:r>
              <w:t>30+ years law enforcement, military, security training</w:t>
            </w:r>
          </w:p>
        </w:tc>
      </w:tr>
      <w:tr>
        <w:tc>
          <w:tcPr>
            <w:tcW w:type="dxa" w:w="3024"/>
            <w:shd w:val="clear" w:color="auto" w:fill="E8F0FA"/>
          </w:tcPr>
          <w:p>
            <w:r>
              <w:rPr>
                <w:b/>
              </w:rPr>
              <w:t>Bruce Miller</w:t>
            </w:r>
          </w:p>
        </w:tc>
        <w:tc>
          <w:tcPr>
            <w:tcW w:type="dxa" w:w="3024"/>
          </w:tcPr>
          <w:p>
            <w:r>
              <w:t>Vice President</w:t>
            </w:r>
          </w:p>
        </w:tc>
        <w:tc>
          <w:tcPr>
            <w:tcW w:type="dxa" w:w="3024"/>
          </w:tcPr>
          <w:p>
            <w:r>
              <w:t>Board member and faith leader</w:t>
            </w:r>
          </w:p>
        </w:tc>
      </w:tr>
      <w:tr>
        <w:tc>
          <w:tcPr>
            <w:tcW w:type="dxa" w:w="3024"/>
            <w:shd w:val="clear" w:color="auto" w:fill="E8F0FA"/>
          </w:tcPr>
          <w:p>
            <w:r>
              <w:rPr>
                <w:b/>
              </w:rPr>
              <w:t>Kevin Bray</w:t>
            </w:r>
          </w:p>
        </w:tc>
        <w:tc>
          <w:tcPr>
            <w:tcW w:type="dxa" w:w="3024"/>
          </w:tcPr>
          <w:p>
            <w:r>
              <w:t>Treasurer</w:t>
            </w:r>
          </w:p>
        </w:tc>
        <w:tc>
          <w:tcPr>
            <w:tcW w:type="dxa" w:w="3024"/>
          </w:tcPr>
          <w:p>
            <w:r>
              <w:t>Financial oversight and compliance</w:t>
            </w:r>
          </w:p>
        </w:tc>
      </w:tr>
      <w:tr>
        <w:tc>
          <w:tcPr>
            <w:tcW w:type="dxa" w:w="3024"/>
            <w:shd w:val="clear" w:color="auto" w:fill="E8F0FA"/>
          </w:tcPr>
          <w:p>
            <w:r>
              <w:rPr>
                <w:b/>
              </w:rPr>
              <w:t>Hunter Clary</w:t>
            </w:r>
          </w:p>
        </w:tc>
        <w:tc>
          <w:tcPr>
            <w:tcW w:type="dxa" w:w="3024"/>
          </w:tcPr>
          <w:p>
            <w:r>
              <w:t>Secretary</w:t>
            </w:r>
          </w:p>
        </w:tc>
        <w:tc>
          <w:tcPr>
            <w:tcW w:type="dxa" w:w="3024"/>
          </w:tcPr>
          <w:p>
            <w:r>
              <w:t>Records, communications, organizational governance</w:t>
            </w:r>
          </w:p>
        </w:tc>
      </w:tr>
      <w:tr>
        <w:tc>
          <w:tcPr>
            <w:tcW w:type="dxa" w:w="3024"/>
            <w:shd w:val="clear" w:color="auto" w:fill="E8F0FA"/>
          </w:tcPr>
          <w:p>
            <w:r>
              <w:rPr>
                <w:b/>
              </w:rPr>
              <w:t>Wendell Russell</w:t>
            </w:r>
          </w:p>
        </w:tc>
        <w:tc>
          <w:tcPr>
            <w:tcW w:type="dxa" w:w="3024"/>
          </w:tcPr>
          <w:p>
            <w:r>
              <w:t>Board Member</w:t>
            </w:r>
          </w:p>
        </w:tc>
        <w:tc>
          <w:tcPr>
            <w:tcW w:type="dxa" w:w="3024"/>
          </w:tcPr>
          <w:p>
            <w:r>
              <w:t>Faith community and board service</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1.5 — SSSF CORE POLICIES</w:t>
            </w:r>
          </w:p>
        </w:tc>
      </w:tr>
    </w:tbl>
    <w:p/>
    <w:p>
      <w:pPr>
        <w:spacing w:after="80"/>
      </w:pPr>
      <w:r>
        <w:t>SSSF operates under six core policies that govern everything assessors do. You are required to know all six. You have already signed Policies 1 and 3 as a condition of beginning this training.</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B2A4A"/>
          </w:tcPr>
          <w:p>
            <w:r>
              <w:rPr>
                <w:b/>
                <w:color w:val="FFFFFF"/>
              </w:rPr>
              <w:t>Policy</w:t>
            </w:r>
          </w:p>
        </w:tc>
        <w:tc>
          <w:tcPr>
            <w:tcW w:type="dxa" w:w="3024"/>
            <w:shd w:val="clear" w:color="auto" w:fill="0B2A4A"/>
          </w:tcPr>
          <w:p>
            <w:r>
              <w:rPr>
                <w:b/>
                <w:color w:val="FFFFFF"/>
              </w:rPr>
              <w:t>Title</w:t>
            </w:r>
          </w:p>
        </w:tc>
        <w:tc>
          <w:tcPr>
            <w:tcW w:type="dxa" w:w="3024"/>
            <w:shd w:val="clear" w:color="auto" w:fill="0B2A4A"/>
          </w:tcPr>
          <w:p>
            <w:r>
              <w:rPr>
                <w:b/>
                <w:color w:val="FFFFFF"/>
              </w:rPr>
              <w:t>What It Governs</w:t>
            </w:r>
          </w:p>
        </w:tc>
      </w:tr>
      <w:tr>
        <w:tc>
          <w:tcPr>
            <w:tcW w:type="dxa" w:w="3024"/>
            <w:shd w:val="clear" w:color="auto" w:fill="E8F0FA"/>
          </w:tcPr>
          <w:p>
            <w:r>
              <w:rPr>
                <w:b/>
              </w:rPr>
              <w:t>Policy 1</w:t>
            </w:r>
          </w:p>
        </w:tc>
        <w:tc>
          <w:tcPr>
            <w:tcW w:type="dxa" w:w="3024"/>
          </w:tcPr>
          <w:p>
            <w:r>
              <w:t>Confidentiality &amp; Non-Disclosure</w:t>
            </w:r>
          </w:p>
        </w:tc>
        <w:tc>
          <w:tcPr>
            <w:tcW w:type="dxa" w:w="3024"/>
          </w:tcPr>
          <w:p>
            <w:r>
              <w:t>Governs how assessment findings, client information, and all SSSF data is handled and protected. The obligation is perpetual — it does not end when your SSSF service ends.</w:t>
            </w:r>
          </w:p>
        </w:tc>
      </w:tr>
      <w:tr>
        <w:tc>
          <w:tcPr>
            <w:tcW w:type="dxa" w:w="3024"/>
            <w:shd w:val="clear" w:color="auto" w:fill="E8F0FA"/>
          </w:tcPr>
          <w:p>
            <w:r>
              <w:rPr>
                <w:b/>
              </w:rPr>
              <w:t>Policy 2</w:t>
            </w:r>
          </w:p>
        </w:tc>
        <w:tc>
          <w:tcPr>
            <w:tcW w:type="dxa" w:w="3024"/>
          </w:tcPr>
          <w:p>
            <w:r>
              <w:t>Conflict of Interest</w:t>
            </w:r>
          </w:p>
        </w:tc>
        <w:tc>
          <w:tcPr>
            <w:tcW w:type="dxa" w:w="3024"/>
          </w:tcPr>
          <w:p>
            <w:r>
              <w:t>Required by the IRS for 501(c)(3) status. Requires board members and assessors to disclose any personal or financial interest that could affect objectivity.</w:t>
            </w:r>
          </w:p>
        </w:tc>
      </w:tr>
      <w:tr>
        <w:tc>
          <w:tcPr>
            <w:tcW w:type="dxa" w:w="3024"/>
            <w:shd w:val="clear" w:color="auto" w:fill="E8F0FA"/>
          </w:tcPr>
          <w:p>
            <w:r>
              <w:rPr>
                <w:b/>
              </w:rPr>
              <w:t>Policy 3</w:t>
            </w:r>
          </w:p>
        </w:tc>
        <w:tc>
          <w:tcPr>
            <w:tcW w:type="dxa" w:w="3024"/>
          </w:tcPr>
          <w:p>
            <w:r>
              <w:t>Assessor Code of Ethics &amp; Conduct</w:t>
            </w:r>
          </w:p>
        </w:tc>
        <w:tc>
          <w:tcPr>
            <w:tcW w:type="dxa" w:w="3024"/>
          </w:tcPr>
          <w:p>
            <w:r>
              <w:t>Sets the non-negotiable standards for how assessors behave on-site and in all SSSF work. Violations can result in immediate revocation of certification.</w:t>
            </w:r>
          </w:p>
        </w:tc>
      </w:tr>
      <w:tr>
        <w:tc>
          <w:tcPr>
            <w:tcW w:type="dxa" w:w="3024"/>
            <w:shd w:val="clear" w:color="auto" w:fill="E8F0FA"/>
          </w:tcPr>
          <w:p>
            <w:r>
              <w:rPr>
                <w:b/>
              </w:rPr>
              <w:t>Policy 4</w:t>
            </w:r>
          </w:p>
        </w:tc>
        <w:tc>
          <w:tcPr>
            <w:tcW w:type="dxa" w:w="3024"/>
          </w:tcPr>
          <w:p>
            <w:r>
              <w:t>Client Engagement &amp; Service Agreement</w:t>
            </w:r>
          </w:p>
        </w:tc>
        <w:tc>
          <w:tcPr>
            <w:tcW w:type="dxa" w:w="3024"/>
          </w:tcPr>
          <w:p>
            <w:r>
              <w:t>Defines the service tiers SSSF offers, cost transparency requirements, the voluntary donation model, and the steps required before any engagement begins.</w:t>
            </w:r>
          </w:p>
        </w:tc>
      </w:tr>
      <w:tr>
        <w:tc>
          <w:tcPr>
            <w:tcW w:type="dxa" w:w="3024"/>
            <w:shd w:val="clear" w:color="auto" w:fill="E8F0FA"/>
          </w:tcPr>
          <w:p>
            <w:r>
              <w:rPr>
                <w:b/>
              </w:rPr>
              <w:t>Policy 5</w:t>
            </w:r>
          </w:p>
        </w:tc>
        <w:tc>
          <w:tcPr>
            <w:tcW w:type="dxa" w:w="3024"/>
          </w:tcPr>
          <w:p>
            <w:r>
              <w:t>Donation Acceptance</w:t>
            </w:r>
          </w:p>
        </w:tc>
        <w:tc>
          <w:tcPr>
            <w:tcW w:type="dxa" w:w="3024"/>
          </w:tcPr>
          <w:p>
            <w:r>
              <w:t>Governs how donations are received, acknowledged, and reported — including during the IRS 501(c)(3) pending period.</w:t>
            </w:r>
          </w:p>
        </w:tc>
      </w:tr>
      <w:tr>
        <w:tc>
          <w:tcPr>
            <w:tcW w:type="dxa" w:w="3024"/>
            <w:shd w:val="clear" w:color="auto" w:fill="E8F0FA"/>
          </w:tcPr>
          <w:p>
            <w:r>
              <w:rPr>
                <w:b/>
              </w:rPr>
              <w:t>Policy 6</w:t>
            </w:r>
          </w:p>
        </w:tc>
        <w:tc>
          <w:tcPr>
            <w:tcW w:type="dxa" w:w="3024"/>
          </w:tcPr>
          <w:p>
            <w:r>
              <w:t>Assessor Credentialing &amp; Certification</w:t>
            </w:r>
          </w:p>
        </w:tc>
        <w:tc>
          <w:tcPr>
            <w:tcW w:type="dxa" w:w="3024"/>
          </w:tcPr>
          <w:p>
            <w:r>
              <w:t>Establishes who is authorized to conduct assessments and how certification is earned, maintained, and revoked.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1.6 — THE ASSESSOR'S ROLE</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You Are an Advisor — Not an Inspector</w:t>
              <w:br/>
            </w:r>
            <w:r>
              <w:rPr>
                <w:sz w:val="20"/>
              </w:rPr>
              <w:t>There is a critical difference between walking into a church as an inspector who is looking for problems and walking in as an advisor who is looking for ways to help. SSSF assessors always do the latter. Your tone, your language, your body language, and your recommendations must all communicate: 'We are here to serve you, not to judge you.'</w:t>
            </w:r>
          </w:p>
        </w:tc>
      </w:tr>
    </w:tbl>
    <w:p/>
    <w:p>
      <w:pPr>
        <w:spacing w:after="80"/>
      </w:pPr>
      <w:r>
        <w:t>As an SSSF certified assessor you are authorized to:</w:t>
      </w:r>
    </w:p>
    <w:p>
      <w:pPr>
        <w:pStyle w:val="ListBullet"/>
        <w:ind w:left="288"/>
      </w:pPr>
      <w:r>
        <w:t>Conduct full HOW Security Assessments on behalf of SSSF</w:t>
      </w:r>
    </w:p>
    <w:p>
      <w:pPr>
        <w:pStyle w:val="ListBullet"/>
        <w:ind w:left="288"/>
      </w:pPr>
      <w:r>
        <w:t>Score and document findings using the official SSSF HOW Assessment tool</w:t>
      </w:r>
    </w:p>
    <w:p>
      <w:pPr>
        <w:pStyle w:val="ListBullet"/>
        <w:ind w:left="288"/>
      </w:pPr>
      <w:r>
        <w:t>Deliver verbal and written assessment findings to client leadership</w:t>
      </w:r>
    </w:p>
    <w:p>
      <w:pPr>
        <w:pStyle w:val="ListBullet"/>
        <w:ind w:left="288"/>
      </w:pPr>
      <w:r>
        <w:t>Represent SSSF in all client-facing interactions related to your assigned engagement</w:t>
      </w:r>
    </w:p>
    <w:p/>
    <w:p>
      <w:pPr>
        <w:spacing w:after="80"/>
      </w:pPr>
      <w:r>
        <w:t>You are NOT authorized to:</w:t>
      </w:r>
    </w:p>
    <w:p>
      <w:pPr>
        <w:pStyle w:val="ListBullet"/>
        <w:ind w:left="288"/>
      </w:pPr>
      <w:r>
        <w:t>Make guarantees of safety or security to any client</w:t>
      </w:r>
    </w:p>
    <w:p>
      <w:pPr>
        <w:pStyle w:val="ListBullet"/>
        <w:ind w:left="288"/>
      </w:pPr>
      <w:r>
        <w:t>Provide legal, code enforcement, or regulatory advice</w:t>
      </w:r>
    </w:p>
    <w:p>
      <w:pPr>
        <w:pStyle w:val="ListBullet"/>
        <w:ind w:left="288"/>
      </w:pPr>
      <w:r>
        <w:t>Solicit business for any private company during or after an SSSF engagement</w:t>
      </w:r>
    </w:p>
    <w:p>
      <w:pPr>
        <w:pStyle w:val="ListBullet"/>
        <w:ind w:left="288"/>
      </w:pPr>
      <w:r>
        <w:t>Conduct any assessment not authorized in advance by SSSF</w:t>
      </w:r>
    </w:p>
    <w:p>
      <w:pPr>
        <w:pStyle w:val="ListBullet"/>
        <w:ind w:left="288"/>
      </w:pPr>
      <w:r>
        <w:t>Accept payment directly from a client for SSSF services</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KEY TAKEAWAYS</w:t>
            </w:r>
          </w:p>
        </w:tc>
      </w:tr>
    </w:tbl>
    <w:p/>
    <w:p>
      <w:pPr>
        <w:pStyle w:val="ListBullet"/>
        <w:ind w:left="288"/>
      </w:pPr>
      <w:r>
        <w:t>SSSF exists to protect houses of worship through compassionate, professional security assessments funded by donations — never client fees.</w:t>
      </w:r>
    </w:p>
    <w:p>
      <w:pPr>
        <w:pStyle w:val="ListBullet"/>
        <w:ind w:left="288"/>
      </w:pPr>
      <w:r>
        <w:t>The foundation operates on a de-escalation-first, faith-centered philosophy. You are a peacekeeper, not a warrior.</w:t>
      </w:r>
    </w:p>
    <w:p>
      <w:pPr>
        <w:pStyle w:val="ListBullet"/>
        <w:ind w:left="288"/>
      </w:pPr>
      <w:r>
        <w:t>All six SSSF policies govern your conduct as an assessor. Know them. Live them.</w:t>
      </w:r>
    </w:p>
    <w:p>
      <w:pPr>
        <w:pStyle w:val="ListBullet"/>
        <w:ind w:left="288"/>
      </w:pPr>
      <w:r>
        <w:t>You are an advisor — your job is to serve the congregation, not inspect or judge them.</w:t>
      </w:r>
    </w:p>
    <w:p>
      <w:pPr>
        <w:pStyle w:val="ListBullet"/>
        <w:ind w:left="288"/>
      </w:pPr>
      <w:r>
        <w:t>Your training is voluntary. That decision reflects SSSF's values and yours.</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KNOWLEDGE CHECK</w:t>
            </w:r>
          </w:p>
        </w:tc>
      </w:tr>
    </w:tbl>
    <w:p/>
    <w:p>
      <w:pPr>
        <w:spacing w:after="80"/>
      </w:pPr>
      <w:r>
        <w:t>Answer the following questions to confirm your understanding of this module. These will be reviewed with your instructor.</w:t>
      </w:r>
    </w:p>
    <w:p/>
    <w:p>
      <w:r>
        <w:rPr>
          <w:b/>
        </w:rPr>
        <w:t>1. What is SSSF's primary mission?</w:t>
      </w:r>
    </w:p>
    <w:p>
      <w:pPr>
        <w:pStyle w:val="ListBullet"/>
        <w:ind w:left="288"/>
      </w:pPr>
      <w:r>
        <w:t>A) To provide paid security consulting to churches</w:t>
      </w:r>
    </w:p>
    <w:p>
      <w:pPr>
        <w:pStyle w:val="ListBullet"/>
        <w:ind w:left="288"/>
      </w:pPr>
      <w:r>
        <w:t>B) To strengthen safety and readiness of houses of worship through donation-funded assessments and training</w:t>
      </w:r>
    </w:p>
    <w:p>
      <w:pPr>
        <w:pStyle w:val="ListBullet"/>
        <w:ind w:left="288"/>
      </w:pPr>
      <w:r>
        <w:t>C) To train armed security guards for faith communities</w:t>
      </w:r>
    </w:p>
    <w:p>
      <w:pPr>
        <w:pStyle w:val="ListBullet"/>
        <w:ind w:left="288"/>
      </w:pPr>
      <w:r>
        <w:t>D) To sell security equipment to congregations</w:t>
      </w:r>
    </w:p>
    <w:p/>
    <w:p>
      <w:r>
        <w:rPr>
          <w:b/>
        </w:rPr>
        <w:t>2. Which of the following are you authorized to do as a certified SSSF assessor?</w:t>
      </w:r>
    </w:p>
    <w:p>
      <w:pPr>
        <w:pStyle w:val="ListBullet"/>
        <w:ind w:left="288"/>
      </w:pPr>
      <w:r>
        <w:t>A) Accept cash payment directly from a client church</w:t>
      </w:r>
    </w:p>
    <w:p>
      <w:pPr>
        <w:pStyle w:val="ListBullet"/>
        <w:ind w:left="288"/>
      </w:pPr>
      <w:r>
        <w:t>B) Guarantee a congregation's safety after completing an assessment</w:t>
      </w:r>
    </w:p>
    <w:p>
      <w:pPr>
        <w:pStyle w:val="ListBullet"/>
        <w:ind w:left="288"/>
      </w:pPr>
      <w:r>
        <w:t>C) Conduct a full HOW Assessment and deliver findings to leadership</w:t>
      </w:r>
    </w:p>
    <w:p>
      <w:pPr>
        <w:pStyle w:val="ListBullet"/>
        <w:ind w:left="288"/>
      </w:pPr>
      <w:r>
        <w:t>D) Recommend security vendors in exchange for a referral fee</w:t>
      </w:r>
    </w:p>
    <w:p/>
    <w:p>
      <w:r>
        <w:rPr>
          <w:b/>
        </w:rPr>
        <w:t>3. What does 'de-escalation first' mean in the context of SSSF?</w:t>
      </w:r>
    </w:p>
    <w:p>
      <w:pPr>
        <w:pStyle w:val="ListBullet"/>
        <w:ind w:left="288"/>
      </w:pPr>
      <w:r>
        <w:t>A) Assessors should never discuss firearms</w:t>
      </w:r>
    </w:p>
    <w:p>
      <w:pPr>
        <w:pStyle w:val="ListBullet"/>
        <w:ind w:left="288"/>
      </w:pPr>
      <w:r>
        <w:t>B) SSSF prioritizes prevention, early intervention, and calm resolution over force</w:t>
      </w:r>
    </w:p>
    <w:p>
      <w:pPr>
        <w:pStyle w:val="ListBullet"/>
        <w:ind w:left="288"/>
      </w:pPr>
      <w:r>
        <w:t>C) Assessors should only assess low-risk congregations</w:t>
      </w:r>
    </w:p>
    <w:p>
      <w:pPr>
        <w:pStyle w:val="ListBullet"/>
        <w:ind w:left="288"/>
      </w:pPr>
      <w:r>
        <w:t>D) Training must always begin with classroom instruction</w:t>
      </w:r>
    </w:p>
    <w:p/>
    <w:p>
      <w:r>
        <w:rPr>
          <w:b/>
        </w:rPr>
        <w:t>4. Which two SSSF policies must be signed before a candidate begins site access?</w:t>
      </w:r>
    </w:p>
    <w:p>
      <w:pPr>
        <w:pStyle w:val="ListBullet"/>
        <w:ind w:left="288"/>
      </w:pPr>
      <w:r>
        <w:t>A) Policy 2 and Policy 5</w:t>
      </w:r>
    </w:p>
    <w:p>
      <w:pPr>
        <w:pStyle w:val="ListBullet"/>
        <w:ind w:left="288"/>
      </w:pPr>
      <w:r>
        <w:t>B) Policy 1 and Policy 3</w:t>
      </w:r>
    </w:p>
    <w:p>
      <w:pPr>
        <w:pStyle w:val="ListBullet"/>
        <w:ind w:left="288"/>
      </w:pPr>
      <w:r>
        <w:t>C) Policy 4 and Policy 6</w:t>
      </w:r>
    </w:p>
    <w:p>
      <w:pPr>
        <w:pStyle w:val="ListBullet"/>
        <w:ind w:left="288"/>
      </w:pPr>
      <w:r>
        <w:t>D) Policy 3 and Policy 4</w:t>
      </w:r>
    </w:p>
    <w:p/>
    <w:p>
      <w:r>
        <w:rPr>
          <w:b/>
        </w:rPr>
        <w:t>5. As an SSSF assessor, how should you approach a congregation that is defensive about their security gaps?</w:t>
      </w:r>
    </w:p>
    <w:p>
      <w:pPr>
        <w:pStyle w:val="ListBullet"/>
        <w:ind w:left="288"/>
      </w:pPr>
      <w:r>
        <w:t>A) Present data showing how dangerous their situation is</w:t>
      </w:r>
    </w:p>
    <w:p>
      <w:pPr>
        <w:pStyle w:val="ListBullet"/>
        <w:ind w:left="288"/>
      </w:pPr>
      <w:r>
        <w:t>B) Escalate your concern to church leadership immediately</w:t>
      </w:r>
    </w:p>
    <w:p>
      <w:pPr>
        <w:pStyle w:val="ListBullet"/>
        <w:ind w:left="288"/>
      </w:pPr>
      <w:r>
        <w:t>C) Lead with compassion, acknowledge their strengths, and position recommendations as opportunities</w:t>
      </w:r>
    </w:p>
    <w:p>
      <w:pPr>
        <w:pStyle w:val="ListBullet"/>
        <w:ind w:left="288"/>
      </w:pPr>
      <w:r>
        <w:t>D) Suspend the assessment and report back to SSSF</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NOTES</w:t>
            </w:r>
          </w:p>
        </w:tc>
      </w:tr>
    </w:tbl>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