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auto" w:w="0"/>
        <w:tblLook w:firstColumn="1" w:firstRow="1" w:lastColumn="0" w:lastRow="0" w:noHBand="0" w:noVBand="1" w:val="04A0"/>
      </w:tblPr>
      <w:tblGrid>
        <w:gridCol w:w="4536"/>
        <w:gridCol w:w="4536"/>
      </w:tblGrid>
      <w:tr>
        <w:tc>
          <w:tcPr>
            <w:tcW w:type="dxa" w:w="1872"/>
            <w:shd w:val="clear" w:color="auto" w:fill="0B2A4A"/>
          </w:tcPr>
          <w:p>
            <w:pPr>
              <w:jc w:val="center"/>
            </w:pPr>
            <w:r/>
            <w:r>
              <w:drawing>
                <wp:inline xmlns:a="http://schemas.openxmlformats.org/drawingml/2006/main" xmlns:pic="http://schemas.openxmlformats.org/drawingml/2006/picture">
                  <wp:extent cx="1005840" cy="1005840"/>
                  <wp:docPr id="1" name="Picture 1"/>
                  <wp:cNvGraphicFramePr>
                    <a:graphicFrameLocks noChangeAspect="1"/>
                  </wp:cNvGraphicFramePr>
                  <a:graphic>
                    <a:graphicData uri="http://schemas.openxmlformats.org/drawingml/2006/picture">
                      <pic:pic>
                        <pic:nvPicPr>
                          <pic:cNvPr id="0" name="knight-logo-fixed-consistent-face-and-armor.png"/>
                          <pic:cNvPicPr/>
                        </pic:nvPicPr>
                        <pic:blipFill>
                          <a:blip r:embed="rId10"/>
                          <a:stretch>
                            <a:fillRect/>
                          </a:stretch>
                        </pic:blipFill>
                        <pic:spPr>
                          <a:xfrm>
                            <a:off x="0" y="0"/>
                            <a:ext cx="1005840" cy="1005840"/>
                          </a:xfrm>
                          <a:prstGeom prst="rect"/>
                        </pic:spPr>
                      </pic:pic>
                    </a:graphicData>
                  </a:graphic>
                </wp:inline>
              </w:drawing>
            </w:r>
          </w:p>
        </w:tc>
        <w:tc>
          <w:tcPr>
            <w:tcW w:type="dxa" w:w="7920"/>
            <w:shd w:val="clear" w:color="auto" w:fill="0B2A4A"/>
          </w:tcPr>
          <w:p>
            <w:pPr>
              <w:jc w:val="left"/>
            </w:pPr>
            <w:r>
              <w:rPr>
                <w:b/>
                <w:color w:val="FFFFFF"/>
                <w:sz w:val="28"/>
              </w:rPr>
            </w:r>
            <w:r>
              <w:rPr>
                <w:i/>
                <w:color w:val="6795AF"/>
                <w:sz w:val="18"/>
              </w:rPr>
            </w:r>
            <w:r>
              <w:rPr>
                <w:b/>
                <w:color w:val="FFFFFF"/>
                <w:sz w:val="28"/>
              </w:rPr>
              <w:t>SHEPHERD'S SHIELD SAFETY FOUNDATION</w:t>
              <w:br/>
            </w:r>
            <w:r>
              <w:rPr>
                <w:i/>
                <w:color w:val="6795AF"/>
                <w:sz w:val="18"/>
              </w:rPr>
              <w:t>"Protecting the Flock. Preserving Life. Glorifying God."</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pPr>
              <w:jc w:val="center"/>
            </w:pPr>
            <w:r>
              <w:rPr>
                <w:b/>
                <w:color w:val="F0B842"/>
                <w:sz w:val="28"/>
              </w:rPr>
            </w:r>
            <w:r>
              <w:rPr>
                <w:b/>
                <w:color w:val="F0B842"/>
                <w:sz w:val="28"/>
              </w:rPr>
              <w:t>MODULE 7  |  LEGAL, LIABILITY &amp; SCOPE AWARENESS</w:t>
            </w:r>
          </w:p>
        </w:tc>
      </w:tr>
    </w:tbl>
    <w:p/>
    <w:p>
      <w:pPr>
        <w:jc w:val="center"/>
      </w:pPr>
      <w:r>
        <w:rPr>
          <w:i/>
          <w:color w:val="555555"/>
          <w:sz w:val="20"/>
        </w:rPr>
        <w:t>Protecting Yourself, SSSF, and the Congregations You Serve</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LEARNING OBJECTIVES</w:t>
            </w:r>
          </w:p>
        </w:tc>
      </w:tr>
    </w:tbl>
    <w:p/>
    <w:p>
      <w:pPr>
        <w:pStyle w:val="ListBullet"/>
        <w:ind w:left="288"/>
      </w:pPr>
      <w:r>
        <w:t>Clearly define the scope of an SSSF assessment and what falls outside of it</w:t>
      </w:r>
    </w:p>
    <w:p>
      <w:pPr>
        <w:pStyle w:val="ListBullet"/>
        <w:ind w:left="288"/>
      </w:pPr>
      <w:r>
        <w:t>Identify statements and actions that create legal or liability risk for SSSF and the assessor</w:t>
      </w:r>
    </w:p>
    <w:p>
      <w:pPr>
        <w:pStyle w:val="ListBullet"/>
        <w:ind w:left="288"/>
      </w:pPr>
      <w:r>
        <w:t>Apply mandatory reporting obligations correctly when warranted</w:t>
      </w:r>
    </w:p>
    <w:p>
      <w:pPr>
        <w:pStyle w:val="ListBullet"/>
        <w:ind w:left="288"/>
      </w:pPr>
      <w:r>
        <w:t>Maintain confidentiality in the field when tested by curious staff or leadership</w:t>
      </w:r>
    </w:p>
    <w:p>
      <w:pPr>
        <w:pStyle w:val="ListBullet"/>
        <w:ind w:left="288"/>
      </w:pPr>
      <w:r>
        <w:t>Understand SSSF's liability limitation and what it means for your conduct</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7.1 — SCOPE OF AN SSSF ASSESSMENT</w:t>
            </w:r>
          </w:p>
        </w:tc>
      </w:tr>
    </w:tbl>
    <w:p/>
    <w:p>
      <w:pPr>
        <w:spacing w:after="80"/>
      </w:pPr>
      <w:r>
        <w:t>Clarity about what an SSSF assessment is — and is not — protects everyone involved. Scope violations create liability for SSSF and undermine the integrity of the assessment.</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What an SSSF Assessment IS</w:t>
              <w:br/>
            </w:r>
            <w:r>
              <w:rPr>
                <w:sz w:val="20"/>
              </w:rPr>
              <w:t>A structured, observational evaluation of a facility's current security posture across 10 defined pillars. It produces scored findings, written observations, and prioritized recommendations based on conditions observed on the date of assessment.</w:t>
            </w:r>
          </w:p>
        </w:tc>
      </w:tr>
    </w:tbl>
    <w:p/>
    <w:tbl>
      <w:tblPr>
        <w:tblStyle w:val="TableGrid"/>
        <w:tblW w:type="auto" w:w="0"/>
        <w:tblLook w:firstColumn="1" w:firstRow="1" w:lastColumn="0" w:lastRow="0" w:noHBand="0" w:noVBand="1" w:val="04A0"/>
      </w:tblPr>
      <w:tblGrid>
        <w:gridCol w:w="9072"/>
      </w:tblGrid>
      <w:tr>
        <w:tc>
          <w:tcPr>
            <w:tcW w:type="dxa" w:w="9072"/>
            <w:shd w:val="clear" w:color="auto" w:fill="F0B842"/>
          </w:tcPr>
          <w:p>
            <w:r>
              <w:rPr>
                <w:b/>
                <w:color w:val="0B2A4A"/>
              </w:rPr>
              <w:t>What an SSSF Assessment IS NOT</w:t>
              <w:br/>
            </w:r>
            <w:r>
              <w:rPr>
                <w:sz w:val="20"/>
              </w:rPr>
              <w:t>• A guarantee of safety or security</w:t>
              <w:br/>
              <w:t>• A code compliance inspection</w:t>
              <w:br/>
              <w:t>• A legal opinion or regulatory audit</w:t>
              <w:br/>
              <w:t>• A threat analysis or law enforcement function</w:t>
              <w:br/>
              <w:t>• An installation, maintenance, or equipment recommendation service</w:t>
              <w:br/>
              <w:t>• An endorsement of any vendor, product, or security company</w:t>
            </w:r>
          </w:p>
        </w:tc>
      </w:tr>
    </w:tbl>
    <w:p/>
    <w:p>
      <w:pPr>
        <w:spacing w:after="80"/>
      </w:pPr>
      <w:r>
        <w:t>When a conversation begins to drift outside scope — into legal questions, vendor recommendations, or guarantees — redirect professionally: 'That's a great question — it's outside the scope of what I'm able to address today, but I can note it as something to explore with a qualified professional.'</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7.2 — STATEMENTS THAT CREATE LIABILITY</w:t>
            </w:r>
          </w:p>
        </w:tc>
      </w:tr>
    </w:tbl>
    <w:p/>
    <w:p>
      <w:pPr>
        <w:spacing w:after="80"/>
      </w:pPr>
      <w:r>
        <w:t>Words matter. The following types of statements — even when well-intentioned — can create legal exposure for SSSF and for you personally.</w:t>
      </w:r>
    </w:p>
    <w:tbl>
      <w:tblPr>
        <w:tblStyle w:val="TableGrid"/>
        <w:tblW w:type="auto" w:w="0"/>
        <w:tblLook w:firstColumn="1" w:firstRow="1" w:lastColumn="0" w:lastRow="0" w:noHBand="0" w:noVBand="1" w:val="04A0"/>
      </w:tblPr>
      <w:tblGrid>
        <w:gridCol w:w="3024"/>
        <w:gridCol w:w="3024"/>
        <w:gridCol w:w="3024"/>
      </w:tblGrid>
      <w:tr>
        <w:tc>
          <w:tcPr>
            <w:tcW w:type="dxa" w:w="3024"/>
            <w:shd w:val="clear" w:color="auto" w:fill="0B2A4A"/>
          </w:tcPr>
          <w:p>
            <w:r>
              <w:rPr>
                <w:b/>
                <w:color w:val="FFFFFF"/>
              </w:rPr>
              <w:t>Statement Type</w:t>
            </w:r>
          </w:p>
        </w:tc>
        <w:tc>
          <w:tcPr>
            <w:tcW w:type="dxa" w:w="3024"/>
            <w:shd w:val="clear" w:color="auto" w:fill="0B2A4A"/>
          </w:tcPr>
          <w:p>
            <w:r>
              <w:rPr>
                <w:b/>
                <w:color w:val="FFFFFF"/>
              </w:rPr>
              <w:t>Example</w:t>
            </w:r>
          </w:p>
        </w:tc>
        <w:tc>
          <w:tcPr>
            <w:tcW w:type="dxa" w:w="3024"/>
            <w:shd w:val="clear" w:color="auto" w:fill="0B2A4A"/>
          </w:tcPr>
          <w:p>
            <w:r>
              <w:rPr>
                <w:b/>
                <w:color w:val="FFFFFF"/>
              </w:rPr>
              <w:t>Why It's Problematic</w:t>
            </w:r>
          </w:p>
        </w:tc>
      </w:tr>
      <w:tr>
        <w:tc>
          <w:tcPr>
            <w:tcW w:type="dxa" w:w="3024"/>
            <w:shd w:val="clear" w:color="auto" w:fill="E8F0FA"/>
          </w:tcPr>
          <w:p>
            <w:r>
              <w:rPr>
                <w:b/>
              </w:rPr>
              <w:t>Guarantees of safety</w:t>
            </w:r>
          </w:p>
        </w:tc>
        <w:tc>
          <w:tcPr>
            <w:tcW w:type="dxa" w:w="3024"/>
          </w:tcPr>
          <w:p>
            <w:r>
              <w:t>"After this assessment, you'll be much safer."  /  "This plan will protect your congregation."</w:t>
            </w:r>
          </w:p>
        </w:tc>
        <w:tc>
          <w:tcPr>
            <w:tcW w:type="dxa" w:w="3024"/>
          </w:tcPr>
          <w:p>
            <w:r>
              <w:t>Never guarantee outcomes. Assessments identify gaps and recommend improvements — they do not guarantee results.</w:t>
            </w:r>
          </w:p>
        </w:tc>
      </w:tr>
      <w:tr>
        <w:tc>
          <w:tcPr>
            <w:tcW w:type="dxa" w:w="3024"/>
            <w:shd w:val="clear" w:color="auto" w:fill="E8F0FA"/>
          </w:tcPr>
          <w:p>
            <w:r>
              <w:rPr>
                <w:b/>
              </w:rPr>
              <w:t>Specific vendor or product endorsements</w:t>
            </w:r>
          </w:p>
        </w:tc>
        <w:tc>
          <w:tcPr>
            <w:tcW w:type="dxa" w:w="3024"/>
          </w:tcPr>
          <w:p>
            <w:r>
              <w:t>"You need to call [Company X] — they're the best for this."  /  "Buy this specific lock model."</w:t>
            </w:r>
          </w:p>
        </w:tc>
        <w:tc>
          <w:tcPr>
            <w:tcW w:type="dxa" w:w="3024"/>
          </w:tcPr>
          <w:p>
            <w:r>
              <w:t>SSSF is vendor-neutral. You may describe categories of solutions but never recommend specific vendors or products.</w:t>
            </w:r>
          </w:p>
        </w:tc>
      </w:tr>
      <w:tr>
        <w:tc>
          <w:tcPr>
            <w:tcW w:type="dxa" w:w="3024"/>
            <w:shd w:val="clear" w:color="auto" w:fill="E8F0FA"/>
          </w:tcPr>
          <w:p>
            <w:r>
              <w:rPr>
                <w:b/>
              </w:rPr>
              <w:t>Legal or regulatory statements</w:t>
            </w:r>
          </w:p>
        </w:tc>
        <w:tc>
          <w:tcPr>
            <w:tcW w:type="dxa" w:w="3024"/>
          </w:tcPr>
          <w:p>
            <w:r>
              <w:t>"You're required by law to have an AED."  /  "This door configuration violates fire code."</w:t>
            </w:r>
          </w:p>
        </w:tc>
        <w:tc>
          <w:tcPr>
            <w:tcW w:type="dxa" w:w="3024"/>
          </w:tcPr>
          <w:p>
            <w:r>
              <w:t>You are not a lawyer, code officer, or fire marshal. Redirect all regulatory questions to appropriate authorities.</w:t>
            </w:r>
          </w:p>
        </w:tc>
      </w:tr>
      <w:tr>
        <w:tc>
          <w:tcPr>
            <w:tcW w:type="dxa" w:w="3024"/>
            <w:shd w:val="clear" w:color="auto" w:fill="E8F0FA"/>
          </w:tcPr>
          <w:p>
            <w:r>
              <w:rPr>
                <w:b/>
              </w:rPr>
              <w:t>Diagnoses of imminent danger</w:t>
            </w:r>
          </w:p>
        </w:tc>
        <w:tc>
          <w:tcPr>
            <w:tcW w:type="dxa" w:w="3024"/>
          </w:tcPr>
          <w:p>
            <w:r>
              <w:t>"This building is not safe for worship."  /  "I wouldn't hold services here until this is fixed."</w:t>
            </w:r>
          </w:p>
        </w:tc>
        <w:tc>
          <w:tcPr>
            <w:tcW w:type="dxa" w:w="3024"/>
          </w:tcPr>
          <w:p>
            <w:r>
              <w:t>Overstating risk creates panic and liability. You identify gaps and recommend action — you do not condemn facilities.</w:t>
            </w:r>
          </w:p>
        </w:tc>
      </w:tr>
      <w:tr>
        <w:tc>
          <w:tcPr>
            <w:tcW w:type="dxa" w:w="3024"/>
            <w:shd w:val="clear" w:color="auto" w:fill="E8F0FA"/>
          </w:tcPr>
          <w:p>
            <w:r>
              <w:rPr>
                <w:b/>
              </w:rPr>
              <w:t>Statements about what happened previously</w:t>
            </w:r>
          </w:p>
        </w:tc>
        <w:tc>
          <w:tcPr>
            <w:tcW w:type="dxa" w:w="3024"/>
          </w:tcPr>
          <w:p>
            <w:r>
              <w:t>"This was probably how the incident at [other church] started."</w:t>
            </w:r>
          </w:p>
        </w:tc>
        <w:tc>
          <w:tcPr>
            <w:tcW w:type="dxa" w:w="3024"/>
          </w:tcPr>
          <w:p>
            <w:r>
              <w:t>Never reference other specific incidents or organizations by name in your conversations with clients.</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7.3 — MANDATORY REPORTING OBLIGATIONS</w:t>
            </w:r>
          </w:p>
        </w:tc>
      </w:tr>
    </w:tbl>
    <w:p/>
    <w:p>
      <w:pPr>
        <w:spacing w:after="80"/>
      </w:pPr>
      <w:r>
        <w:t>While the scope of an SSSF assessment is advisory, assessors are not absolved of their civic and moral obligations as human beings. If during an assessment you observe any of the following, you have a mandatory reporting obligation that supersedes SSSF's confidentiality policy:</w:t>
      </w:r>
    </w:p>
    <w:tbl>
      <w:tblPr>
        <w:tblStyle w:val="TableGrid"/>
        <w:tblW w:type="auto" w:w="0"/>
        <w:tblLook w:firstColumn="1" w:firstRow="1" w:lastColumn="0" w:lastRow="0" w:noHBand="0" w:noVBand="1" w:val="04A0"/>
      </w:tblPr>
      <w:tblGrid>
        <w:gridCol w:w="9072"/>
      </w:tblGrid>
      <w:tr>
        <w:tc>
          <w:tcPr>
            <w:tcW w:type="dxa" w:w="9072"/>
            <w:shd w:val="clear" w:color="auto" w:fill="F0B842"/>
          </w:tcPr>
          <w:p>
            <w:r>
              <w:rPr>
                <w:b/>
                <w:color w:val="0B2A4A"/>
              </w:rPr>
              <w:t>Mandatory Reporting Triggers</w:t>
              <w:br/>
            </w:r>
            <w:r>
              <w:rPr>
                <w:sz w:val="20"/>
              </w:rPr>
              <w:t>• Evidence of imminent danger to any person on the premises</w:t>
              <w:br/>
              <w:t>• Active criminal activity observed during the assessment</w:t>
              <w:br/>
              <w:t>• Evidence of child abuse, neglect, or endangerment</w:t>
              <w:br/>
              <w:t>• Observable threats to the physical safety of the congregation</w:t>
            </w:r>
          </w:p>
        </w:tc>
      </w:tr>
    </w:tbl>
    <w:p/>
    <w:p>
      <w:pPr>
        <w:spacing w:after="80"/>
      </w:pPr>
      <w:r>
        <w:t>If any of these situations arise:</w:t>
      </w:r>
    </w:p>
    <w:p>
      <w:pPr>
        <w:pStyle w:val="ListNumber"/>
        <w:ind w:left="288"/>
      </w:pPr>
      <w:r>
        <w:t>Remove yourself and any others from immediate danger.</w:t>
      </w:r>
    </w:p>
    <w:p>
      <w:pPr>
        <w:pStyle w:val="ListNumber"/>
        <w:ind w:left="288"/>
      </w:pPr>
      <w:r>
        <w:t>Call 911 immediately.</w:t>
      </w:r>
    </w:p>
    <w:p>
      <w:pPr>
        <w:pStyle w:val="ListNumber"/>
        <w:ind w:left="288"/>
      </w:pPr>
      <w:r>
        <w:t>Notify the SSSF President (Montague Hall) as soon as safely possible.</w:t>
      </w:r>
    </w:p>
    <w:p>
      <w:pPr>
        <w:pStyle w:val="ListNumber"/>
        <w:ind w:left="288"/>
      </w:pPr>
      <w:r>
        <w:t>Do NOT continue the assessment until the situation is resolved.</w:t>
      </w:r>
    </w:p>
    <w:p>
      <w:pPr>
        <w:pStyle w:val="ListNumber"/>
        <w:ind w:left="288"/>
      </w:pPr>
      <w:r>
        <w:t>Document what you observed, when, and what actions you took — in writing — as soon as possible.</w:t>
      </w:r>
    </w:p>
    <w:p/>
    <w:p>
      <w:pPr>
        <w:spacing w:after="80"/>
      </w:pPr>
      <w:r>
        <w:t>The SSSF Confidentiality Policy does not protect criminal activity. You are never required — and never permitted — to stay silent about evidence of abuse, endangerment, or imminent threat.</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7.4 — CONFIDENTIALITY IN THE FIELD</w:t>
            </w:r>
          </w:p>
        </w:tc>
      </w:tr>
    </w:tbl>
    <w:p/>
    <w:p>
      <w:pPr>
        <w:spacing w:after="80"/>
      </w:pPr>
      <w:r>
        <w:t>You will encounter moments during every assessment when someone tests your confidentiality — sometimes intentionally, sometimes not.</w:t>
      </w:r>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Scenario: "How did other churches score on this?"</w:t>
              <w:br/>
            </w:r>
            <w:r>
              <w:rPr>
                <w:sz w:val="20"/>
              </w:rPr>
              <w:t>You cannot share any information about other SSSF assessments — ever. Response: 'Every assessment is completely confidential to that congregation — including this one. I'm not able to share findings from other engagements.'</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Scenario: "Can you just tell us the score before you write the report?"</w:t>
              <w:br/>
            </w:r>
            <w:r>
              <w:rPr>
                <w:sz w:val="20"/>
              </w:rPr>
              <w:t>Scoring is not complete until you have reviewed all observations. Response: 'I want to make sure your score is accurate — I need to complete my full review before I can give you a meaningful number. You'll receive the full report through SSSF.'</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Scenario: "Can I tell my board what you found?"</w:t>
              <w:br/>
            </w:r>
            <w:r>
              <w:rPr>
                <w:sz w:val="20"/>
              </w:rPr>
              <w:t>The report belongs to SSSF — the client receives the Summary Report and may share it as they choose. Response: 'SSSF will provide you with a Summary Report — that's yours to share with your leadership as you see fit.'</w:t>
            </w:r>
          </w:p>
        </w:tc>
      </w:tr>
    </w:tbl>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Scenario: "Can we post about this assessment on social media?"</w:t>
              <w:br/>
            </w:r>
            <w:r>
              <w:rPr>
                <w:sz w:val="20"/>
              </w:rPr>
              <w:t>Never confirm or post about an assessment publicly without explicit SSSF authorization. Response: 'I'd encourage you to reach out to SSSF directly about that — we want to make sure any public communications are handled appropriately.'</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7.5 — SSSF LIABILITY LIMITATION</w:t>
            </w:r>
          </w:p>
        </w:tc>
      </w:tr>
    </w:tbl>
    <w:p/>
    <w:p>
      <w:pPr>
        <w:spacing w:after="80"/>
      </w:pPr>
      <w:r>
        <w:t>Per SSSF Policy 4, the Foundation's liability for any engagement is limited to the documented cost of delivering that engagement. This means:</w:t>
      </w:r>
    </w:p>
    <w:p>
      <w:pPr>
        <w:pStyle w:val="ListBullet"/>
        <w:ind w:left="288"/>
      </w:pPr>
      <w:r>
        <w:t>SSSF is not liable for any security incident at a client facility — before, during, or after an assessment</w:t>
      </w:r>
    </w:p>
    <w:p>
      <w:pPr>
        <w:pStyle w:val="ListBullet"/>
        <w:ind w:left="288"/>
      </w:pPr>
      <w:r>
        <w:t>SSSF is not liable if a client does not implement recommended improvements and an incident occurs</w:t>
      </w:r>
    </w:p>
    <w:p>
      <w:pPr>
        <w:pStyle w:val="ListBullet"/>
        <w:ind w:left="288"/>
      </w:pPr>
      <w:r>
        <w:t>SSSF is not liable for changes in facility conditions that occur after the assessment date</w:t>
      </w:r>
    </w:p>
    <w:p>
      <w:pPr>
        <w:pStyle w:val="ListBullet"/>
        <w:ind w:left="288"/>
      </w:pPr>
      <w:r>
        <w:t>As an assessor acting under SSSF authorization, you share this liability framework — which is why staying in scope is so critical</w:t>
      </w:r>
    </w:p>
    <w:p/>
    <w:tbl>
      <w:tblPr>
        <w:tblStyle w:val="TableGrid"/>
        <w:tblW w:type="auto" w:w="0"/>
        <w:tblLook w:firstColumn="1" w:firstRow="1" w:lastColumn="0" w:lastRow="0" w:noHBand="0" w:noVBand="1" w:val="04A0"/>
      </w:tblPr>
      <w:tblGrid>
        <w:gridCol w:w="9072"/>
      </w:tblGrid>
      <w:tr>
        <w:tc>
          <w:tcPr>
            <w:tcW w:type="dxa" w:w="9072"/>
            <w:shd w:val="clear" w:color="auto" w:fill="E8F0FA"/>
          </w:tcPr>
          <w:p>
            <w:r>
              <w:rPr>
                <w:b/>
                <w:color w:val="0B2A4A"/>
              </w:rPr>
              <w:t>Your Best Liability Protection</w:t>
              <w:br/>
            </w:r>
            <w:r>
              <w:rPr>
                <w:sz w:val="20"/>
              </w:rPr>
              <w:t>Stay in scope. Document accurately. Never guarantee outcomes. Never recommend vendors. Never practice law or code enforcement. These four principles protect you, SSSF, and the client.</w:t>
            </w:r>
          </w:p>
        </w:tc>
      </w:tr>
    </w:tbl>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7.6 — IF SOMETHING GOES WRONG DURING AN ASSESSMENT</w:t>
            </w:r>
          </w:p>
        </w:tc>
      </w:tr>
    </w:tbl>
    <w:p/>
    <w:p>
      <w:pPr>
        <w:spacing w:after="80"/>
      </w:pPr>
      <w:r>
        <w:t>If an unexpected situation arises during an assessment — a medical emergency, a threatening individual, a confrontational staff member, or any situation that compromises safety or professionalism:</w:t>
      </w:r>
    </w:p>
    <w:p>
      <w:pPr>
        <w:pStyle w:val="ListNumber"/>
        <w:ind w:left="288"/>
      </w:pPr>
      <w:r>
        <w:t>Prioritize safety above all else — yours and everyone else's.</w:t>
      </w:r>
    </w:p>
    <w:p>
      <w:pPr>
        <w:pStyle w:val="ListNumber"/>
        <w:ind w:left="288"/>
      </w:pPr>
      <w:r>
        <w:t>Stop the assessment if necessary and leave the facility.</w:t>
      </w:r>
    </w:p>
    <w:p>
      <w:pPr>
        <w:pStyle w:val="ListNumber"/>
        <w:ind w:left="288"/>
      </w:pPr>
      <w:r>
        <w:t>Contact the SSSF President immediately.</w:t>
      </w:r>
    </w:p>
    <w:p>
      <w:pPr>
        <w:pStyle w:val="ListNumber"/>
        <w:ind w:left="288"/>
      </w:pPr>
      <w:r>
        <w:t>Do not discuss the incident with anyone outside of SSSF.</w:t>
      </w:r>
    </w:p>
    <w:p>
      <w:pPr>
        <w:pStyle w:val="ListNumber"/>
        <w:ind w:left="288"/>
      </w:pPr>
      <w:r>
        <w:t>Write a detailed incident summary while events are fresh and submit it to SSSF.</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KEY TAKEAWAYS</w:t>
            </w:r>
          </w:p>
        </w:tc>
      </w:tr>
    </w:tbl>
    <w:p/>
    <w:p>
      <w:pPr>
        <w:pStyle w:val="ListBullet"/>
        <w:ind w:left="288"/>
      </w:pPr>
      <w:r>
        <w:t>An SSSF assessment is observational and advisory — it is not a legal inspection, code audit, or safety guarantee.</w:t>
      </w:r>
    </w:p>
    <w:p>
      <w:pPr>
        <w:pStyle w:val="ListBullet"/>
        <w:ind w:left="288"/>
      </w:pPr>
      <w:r>
        <w:t>Never guarantee outcomes, recommend specific vendors, make legal statements, or condemn a facility.</w:t>
      </w:r>
    </w:p>
    <w:p>
      <w:pPr>
        <w:pStyle w:val="ListBullet"/>
        <w:ind w:left="288"/>
      </w:pPr>
      <w:r>
        <w:t>Mandatory reporting overrides confidentiality when you observe imminent danger, criminal activity, or child abuse.</w:t>
      </w:r>
    </w:p>
    <w:p>
      <w:pPr>
        <w:pStyle w:val="ListBullet"/>
        <w:ind w:left="288"/>
      </w:pPr>
      <w:r>
        <w:t>Confidentiality in the field means no sharing of other clients' information, no premature scoring, and no unauthorized public communications.</w:t>
      </w:r>
    </w:p>
    <w:p>
      <w:pPr>
        <w:pStyle w:val="ListBullet"/>
        <w:ind w:left="288"/>
      </w:pPr>
      <w:r>
        <w:t>Staying in scope is your single best protection against personal and organizational liability.</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KNOWLEDGE CHECK</w:t>
            </w:r>
          </w:p>
        </w:tc>
      </w:tr>
    </w:tbl>
    <w:p/>
    <w:p>
      <w:pPr>
        <w:spacing w:after="80"/>
      </w:pPr>
      <w:r>
        <w:t>Answer the following questions to confirm your understanding of this module. These will be reviewed with your instructor.</w:t>
      </w:r>
    </w:p>
    <w:p/>
    <w:p>
      <w:r>
        <w:rPr>
          <w:b/>
        </w:rPr>
        <w:t>1. A pastor asks 'Will this assessment make us safe?' What is the correct response?</w:t>
      </w:r>
    </w:p>
    <w:p>
      <w:pPr>
        <w:pStyle w:val="ListBullet"/>
        <w:ind w:left="288"/>
      </w:pPr>
      <w:r>
        <w:t>A) 'Yes — that is exactly what SSSF is here to do.'</w:t>
      </w:r>
    </w:p>
    <w:p>
      <w:pPr>
        <w:pStyle w:val="ListBullet"/>
        <w:ind w:left="288"/>
      </w:pPr>
      <w:r>
        <w:t>B) 'Our assessment will identify gaps and provide prioritized recommendations — implementation is what creates improved safety.'</w:t>
      </w:r>
    </w:p>
    <w:p>
      <w:pPr>
        <w:pStyle w:val="ListBullet"/>
        <w:ind w:left="288"/>
      </w:pPr>
      <w:r>
        <w:t>C) 'It depends on how many of our recommendations you follow.'</w:t>
      </w:r>
    </w:p>
    <w:p>
      <w:pPr>
        <w:pStyle w:val="ListBullet"/>
        <w:ind w:left="288"/>
      </w:pPr>
      <w:r>
        <w:t>D) 'We cannot make any promises about safety outcomes.'</w:t>
      </w:r>
    </w:p>
    <w:p/>
    <w:p>
      <w:r>
        <w:rPr>
          <w:b/>
        </w:rPr>
        <w:t>2. A congregation asks you to recommend a specific camera brand. You should:</w:t>
      </w:r>
    </w:p>
    <w:p>
      <w:pPr>
        <w:pStyle w:val="ListBullet"/>
        <w:ind w:left="288"/>
      </w:pPr>
      <w:r>
        <w:t>A) Recommend the brand you personally use</w:t>
      </w:r>
    </w:p>
    <w:p>
      <w:pPr>
        <w:pStyle w:val="ListBullet"/>
        <w:ind w:left="288"/>
      </w:pPr>
      <w:r>
        <w:t>B) Describe the category of solution needed and suggest they consult a qualified vendor</w:t>
      </w:r>
    </w:p>
    <w:p>
      <w:pPr>
        <w:pStyle w:val="ListBullet"/>
        <w:ind w:left="288"/>
      </w:pPr>
      <w:r>
        <w:t>C) Decline to comment on technology entirely</w:t>
      </w:r>
    </w:p>
    <w:p>
      <w:pPr>
        <w:pStyle w:val="ListBullet"/>
        <w:ind w:left="288"/>
      </w:pPr>
      <w:r>
        <w:t>D) Recommend the brand SSSF has used at other facilities</w:t>
      </w:r>
    </w:p>
    <w:p/>
    <w:p>
      <w:r>
        <w:rPr>
          <w:b/>
        </w:rPr>
        <w:t>3. During an assessment, you observe what appears to be evidence of child abuse. What is your first action?</w:t>
      </w:r>
    </w:p>
    <w:p>
      <w:pPr>
        <w:pStyle w:val="ListBullet"/>
        <w:ind w:left="288"/>
      </w:pPr>
      <w:r>
        <w:t>A) Note it in the assessment report and flag it for SSSF</w:t>
      </w:r>
    </w:p>
    <w:p>
      <w:pPr>
        <w:pStyle w:val="ListBullet"/>
        <w:ind w:left="288"/>
      </w:pPr>
      <w:r>
        <w:t>B) Ask the children's ministry director about it</w:t>
      </w:r>
    </w:p>
    <w:p>
      <w:pPr>
        <w:pStyle w:val="ListBullet"/>
        <w:ind w:left="288"/>
      </w:pPr>
      <w:r>
        <w:t>C) Remove yourself from immediate danger if needed and call 911</w:t>
      </w:r>
    </w:p>
    <w:p>
      <w:pPr>
        <w:pStyle w:val="ListBullet"/>
        <w:ind w:left="288"/>
      </w:pPr>
      <w:r>
        <w:t>D) Complete the assessment first, then notify SSSF</w:t>
      </w:r>
    </w:p>
    <w:p/>
    <w:p>
      <w:r>
        <w:rPr>
          <w:b/>
        </w:rPr>
        <w:t>4. A staff member asks how other churches scored on their assessments. You should:</w:t>
      </w:r>
    </w:p>
    <w:p>
      <w:pPr>
        <w:pStyle w:val="ListBullet"/>
        <w:ind w:left="288"/>
      </w:pPr>
      <w:r>
        <w:t>A) Give general averages without identifying specific churches</w:t>
      </w:r>
    </w:p>
    <w:p>
      <w:pPr>
        <w:pStyle w:val="ListBullet"/>
        <w:ind w:left="288"/>
      </w:pPr>
      <w:r>
        <w:t>B) Decline to share any information — all assessments are completely confidential to each congregation</w:t>
      </w:r>
    </w:p>
    <w:p>
      <w:pPr>
        <w:pStyle w:val="ListBullet"/>
        <w:ind w:left="288"/>
      </w:pPr>
      <w:r>
        <w:t>C) Share aggregate data from published SSSF reports</w:t>
      </w:r>
    </w:p>
    <w:p>
      <w:pPr>
        <w:pStyle w:val="ListBullet"/>
        <w:ind w:left="288"/>
      </w:pPr>
      <w:r>
        <w:t>D) Tell them which pillar most churches score lowest on</w:t>
      </w:r>
    </w:p>
    <w:p/>
    <w:p>
      <w:r>
        <w:rPr>
          <w:b/>
        </w:rPr>
        <w:t>5. SSSF's liability for an engagement is limited to:</w:t>
      </w:r>
    </w:p>
    <w:p>
      <w:pPr>
        <w:pStyle w:val="ListBullet"/>
        <w:ind w:left="288"/>
      </w:pPr>
      <w:r>
        <w:t>A) Nothing — SSSF is fully liable for all outcomes</w:t>
      </w:r>
    </w:p>
    <w:p>
      <w:pPr>
        <w:pStyle w:val="ListBullet"/>
        <w:ind w:left="288"/>
      </w:pPr>
      <w:r>
        <w:t>B) The documented cost of delivering that specific engagement</w:t>
      </w:r>
    </w:p>
    <w:p>
      <w:pPr>
        <w:pStyle w:val="ListBullet"/>
        <w:ind w:left="288"/>
      </w:pPr>
      <w:r>
        <w:t>C) 50% of any damages related to the assessment</w:t>
      </w:r>
    </w:p>
    <w:p>
      <w:pPr>
        <w:pStyle w:val="ListBullet"/>
        <w:ind w:left="288"/>
      </w:pPr>
      <w:r>
        <w:t>D) Incidents that occur during the assessment only</w:t>
      </w:r>
    </w:p>
    <w:p/>
    <w:tbl>
      <w:tblPr>
        <w:tblStyle w:val="TableGrid"/>
        <w:tblW w:type="auto" w:w="0"/>
        <w:tblLook w:firstColumn="1" w:firstRow="1" w:lastColumn="0" w:lastRow="0" w:noHBand="0" w:noVBand="1" w:val="04A0"/>
      </w:tblPr>
      <w:tblGrid>
        <w:gridCol w:w="9072"/>
      </w:tblGrid>
      <w:tr>
        <w:tc>
          <w:tcPr>
            <w:tcW w:type="dxa" w:w="9072"/>
            <w:shd w:val="clear" w:color="auto" w:fill="1A4E78"/>
          </w:tcPr>
          <w:p>
            <w:r>
              <w:rPr>
                <w:b/>
                <w:color w:val="FFFFFF"/>
                <w:sz w:val="22"/>
              </w:rPr>
              <w:t>NOTES</w:t>
            </w:r>
          </w:p>
        </w:tc>
      </w:tr>
    </w:tbl>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p>
      <w:pPr>
        <w:spacing w:after="160"/>
      </w:pPr>
      <w:r>
        <w:t>_____________________________________________________________________________________</w:t>
      </w:r>
    </w:p>
    <w:sectPr w:rsidR="00FC693F" w:rsidRPr="0006063C" w:rsidSect="00034616">
      <w:pgSz w:w="12240" w:h="15840"/>
      <w:pgMar w:top="1440" w:right="1584" w:bottom="1440" w:left="158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jp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