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4536"/>
        <w:gridCol w:w="4536"/>
      </w:tblGrid>
      <w:tr>
        <w:tc>
          <w:tcPr>
            <w:tcW w:type="dxa" w:w="1872"/>
            <w:shd w:val="clear" w:color="auto" w:fill="0B2A4A"/>
          </w:tcPr>
          <w:p>
            <w:pPr>
              <w:jc w:val="center"/>
            </w:pPr>
            <w:r/>
            <w:r>
              <w:drawing>
                <wp:inline xmlns:a="http://schemas.openxmlformats.org/drawingml/2006/main" xmlns:pic="http://schemas.openxmlformats.org/drawingml/2006/picture">
                  <wp:extent cx="1005840" cy="1005840"/>
                  <wp:docPr id="1" name="Picture 1"/>
                  <wp:cNvGraphicFramePr>
                    <a:graphicFrameLocks noChangeAspect="1"/>
                  </wp:cNvGraphicFramePr>
                  <a:graphic>
                    <a:graphicData uri="http://schemas.openxmlformats.org/drawingml/2006/picture">
                      <pic:pic>
                        <pic:nvPicPr>
                          <pic:cNvPr id="0" name="knight-logo-fixed-consistent-face-and-armor.png"/>
                          <pic:cNvPicPr/>
                        </pic:nvPicPr>
                        <pic:blipFill>
                          <a:blip r:embed="rId10"/>
                          <a:stretch>
                            <a:fillRect/>
                          </a:stretch>
                        </pic:blipFill>
                        <pic:spPr>
                          <a:xfrm>
                            <a:off x="0" y="0"/>
                            <a:ext cx="1005840" cy="1005840"/>
                          </a:xfrm>
                          <a:prstGeom prst="rect"/>
                        </pic:spPr>
                      </pic:pic>
                    </a:graphicData>
                  </a:graphic>
                </wp:inline>
              </w:drawing>
            </w:r>
          </w:p>
        </w:tc>
        <w:tc>
          <w:tcPr>
            <w:tcW w:type="dxa" w:w="7920"/>
            <w:shd w:val="clear" w:color="auto" w:fill="0B2A4A"/>
          </w:tcPr>
          <w:p>
            <w:pPr>
              <w:jc w:val="left"/>
            </w:pPr>
            <w:r>
              <w:rPr>
                <w:b/>
                <w:color w:val="FFFFFF"/>
                <w:sz w:val="28"/>
              </w:rPr>
            </w:r>
            <w:r>
              <w:rPr>
                <w:i/>
                <w:color w:val="6795AF"/>
                <w:sz w:val="18"/>
              </w:rPr>
            </w:r>
            <w:r>
              <w:rPr>
                <w:b/>
                <w:color w:val="FFFFFF"/>
                <w:sz w:val="28"/>
              </w:rPr>
              <w:t>SHEPHERD'S SHIELD SAFETY FOUNDATION</w:t>
              <w:br/>
            </w:r>
            <w:r>
              <w:rPr>
                <w:i/>
                <w:color w:val="6795AF"/>
                <w:sz w:val="18"/>
              </w:rPr>
              <w:t>"Protecting the Flock. Preserving Life. Glorifying God."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pPr>
              <w:jc w:val="center"/>
            </w:pPr>
            <w:r>
              <w:rPr>
                <w:b/>
                <w:color w:val="F0B842"/>
                <w:sz w:val="28"/>
              </w:rPr>
            </w:r>
            <w:r>
              <w:rPr>
                <w:b/>
                <w:color w:val="F0B842"/>
                <w:sz w:val="28"/>
              </w:rPr>
              <w:t>MODULE 8  |  REPORT WRITING &amp; LEADERSHIP DEBRIEF</w:t>
            </w:r>
          </w:p>
        </w:tc>
      </w:tr>
    </w:tbl>
    <w:p/>
    <w:p>
      <w:pPr>
        <w:jc w:val="center"/>
      </w:pPr>
      <w:r>
        <w:rPr>
          <w:i/>
          <w:color w:val="555555"/>
          <w:sz w:val="20"/>
        </w:rPr>
        <w:t>Turning Observations into Actionable Guidance</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LEARNING OBJECTIVES</w:t>
            </w:r>
          </w:p>
        </w:tc>
      </w:tr>
    </w:tbl>
    <w:p/>
    <w:p>
      <w:pPr>
        <w:pStyle w:val="ListBullet"/>
        <w:ind w:left="288"/>
      </w:pPr>
      <w:r>
        <w:t>Complete the HOW Assessment Summary Report accurately and professionally</w:t>
      </w:r>
    </w:p>
    <w:p>
      <w:pPr>
        <w:pStyle w:val="ListBullet"/>
        <w:ind w:left="288"/>
      </w:pPr>
      <w:r>
        <w:t>Write assessor notes that are clear, specific, and actionable</w:t>
      </w:r>
    </w:p>
    <w:p>
      <w:pPr>
        <w:pStyle w:val="ListBullet"/>
        <w:ind w:left="288"/>
      </w:pPr>
      <w:r>
        <w:t>Prioritize findings and structure recommendations by urgency</w:t>
      </w:r>
    </w:p>
    <w:p>
      <w:pPr>
        <w:pStyle w:val="ListBullet"/>
        <w:ind w:left="288"/>
      </w:pPr>
      <w:r>
        <w:t>Conduct a leadership debrief that is constructive, confidence-building, and memorable</w:t>
      </w:r>
    </w:p>
    <w:p>
      <w:pPr>
        <w:pStyle w:val="ListBullet"/>
        <w:ind w:left="288"/>
      </w:pPr>
      <w:r>
        <w:t>Handle emotional or defensive reactions during the debrief professionally</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8.1 — THE ASSESSMENT SUMMARY REPORT</w:t>
            </w:r>
          </w:p>
        </w:tc>
      </w:tr>
    </w:tbl>
    <w:p/>
    <w:p>
      <w:pPr>
        <w:spacing w:after="80"/>
      </w:pPr>
      <w:r>
        <w:t>The Summary Report is the primary deliverable SSSF provides to every client congregation. It is produced from the HOW Assessment tool and contains everything leadership needs to understand their current security posture and begin taking action. Remember: the full scored checklist stays with SSSF. The client receives the Summary Report only.</w:t>
      </w:r>
    </w:p>
    <w:p>
      <w:pPr>
        <w:spacing w:before="160"/>
      </w:pPr>
      <w:r>
        <w:rPr>
          <w:b/>
          <w:color w:val="1A4E78"/>
          <w:sz w:val="22"/>
        </w:rPr>
        <w:t>What the Summary Report Contains</w:t>
      </w:r>
    </w:p>
    <w:p>
      <w:pPr>
        <w:pStyle w:val="ListBullet"/>
        <w:ind w:left="288"/>
      </w:pPr>
      <w:r>
        <w:t>Overall Assessment Score and Rating (0–10 scale with rating label)</w:t>
      </w:r>
    </w:p>
    <w:p>
      <w:pPr>
        <w:pStyle w:val="ListBullet"/>
        <w:ind w:left="288"/>
      </w:pPr>
      <w:r>
        <w:t>Individual Pillar Scores (0–10 for each of the 10 pillars)</w:t>
      </w:r>
    </w:p>
    <w:p>
      <w:pPr>
        <w:pStyle w:val="ListBullet"/>
        <w:ind w:left="288"/>
      </w:pPr>
      <w:r>
        <w:t>Critical Deficiency Flags — items scored NO (0) that represent high-priority vulnerabilities</w:t>
      </w:r>
    </w:p>
    <w:p>
      <w:pPr>
        <w:pStyle w:val="ListBullet"/>
        <w:ind w:left="288"/>
      </w:pPr>
      <w:r>
        <w:t>Assessor Notes &amp; Observations for each pillar — written by the assessor</w:t>
      </w:r>
    </w:p>
    <w:p>
      <w:pPr>
        <w:pStyle w:val="ListBullet"/>
        <w:ind w:left="288"/>
      </w:pPr>
      <w:r>
        <w:t>Sign-off block — lead assessor name, date, and SSSF authorization</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8.2 — WRITING EFFECTIVE ASSESSOR NOTES</w:t>
            </w:r>
          </w:p>
        </w:tc>
      </w:tr>
    </w:tbl>
    <w:p/>
    <w:p>
      <w:pPr>
        <w:spacing w:after="80"/>
      </w:pPr>
      <w:r>
        <w:t>The notes section of each pillar is where your value as an assessor shows up most clearly. A score without context is meaningless. Strong notes transform numbers into a roadmap.</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The Three-Part Note Formula</w:t>
              <w:br/>
            </w:r>
            <w:r>
              <w:rPr>
                <w:sz w:val="20"/>
              </w:rPr>
              <w:t>1. WHAT YOU OBSERVED — A specific, factual description of what you saw or did not see.</w:t>
              <w:br/>
              <w:t>2. WHY IT MATTERS — A brief, plain-language explanation of the security implication.</w:t>
              <w:br/>
              <w:t>3. WHAT TO DO — A concrete, achievable recommendation.</w:t>
            </w:r>
          </w:p>
        </w:tc>
      </w:tr>
    </w:tbl>
    <w:p/>
    <w:p/>
    <w:p>
      <w:pPr>
        <w:spacing w:before="160"/>
      </w:pPr>
      <w:r>
        <w:rPr>
          <w:b/>
          <w:color w:val="1A4E78"/>
          <w:sz w:val="22"/>
        </w:rPr>
        <w:t>Examples: Weak Notes vs. Strong Notes</w:t>
      </w:r>
    </w:p>
    <w:tbl>
      <w:tblPr>
        <w:tblStyle w:val="TableGrid"/>
        <w:tblW w:type="auto" w:w="0"/>
        <w:tblLook w:firstColumn="1" w:firstRow="1" w:lastColumn="0" w:lastRow="0" w:noHBand="0" w:noVBand="1" w:val="04A0"/>
      </w:tblPr>
      <w:tblGrid>
        <w:gridCol w:w="4536"/>
        <w:gridCol w:w="4536"/>
      </w:tblGrid>
      <w:tr>
        <w:tc>
          <w:tcPr>
            <w:tcW w:type="dxa" w:w="4536"/>
            <w:shd w:val="clear" w:color="auto" w:fill="0B2A4A"/>
          </w:tcPr>
          <w:p>
            <w:r>
              <w:rPr>
                <w:b/>
                <w:color w:val="FFFFFF"/>
              </w:rPr>
              <w:t>❌  Weak Note</w:t>
            </w:r>
          </w:p>
        </w:tc>
        <w:tc>
          <w:tcPr>
            <w:tcW w:type="dxa" w:w="4536"/>
            <w:shd w:val="clear" w:color="auto" w:fill="1A4E78"/>
          </w:tcPr>
          <w:p>
            <w:r>
              <w:rPr>
                <w:b/>
                <w:color w:val="FFFFFF"/>
              </w:rPr>
              <w:t>✅  Strong Note</w:t>
            </w:r>
          </w:p>
        </w:tc>
      </w:tr>
      <w:tr>
        <w:tc>
          <w:tcPr>
            <w:tcW w:type="dxa" w:w="4536"/>
          </w:tcPr>
          <w:p>
            <w:r>
              <w:t>Lighting is poor outside.</w:t>
            </w:r>
          </w:p>
        </w:tc>
        <w:tc>
          <w:tcPr>
            <w:tcW w:type="dxa" w:w="4536"/>
          </w:tcPr>
          <w:p>
            <w:r>
              <w:t>The south parking lot has no lighting coverage between parking rows 3 and 5 — approximately 40 feet of unlit space directly adjacent to the secondary exit door. This creates a concealment opportunity for anyone approaching the building undetected after dark. Recommendation: Install two pole-mounted LED fixtures in this zone, activated by dusk-to-dawn sensors.</w:t>
            </w:r>
          </w:p>
        </w:tc>
      </w:tr>
      <w:tr>
        <w:tc>
          <w:tcPr>
            <w:tcW w:type="dxa" w:w="4536"/>
          </w:tcPr>
          <w:p>
            <w:r>
              <w:t>No emergency plan found.</w:t>
            </w:r>
          </w:p>
        </w:tc>
        <w:tc>
          <w:tcPr>
            <w:tcW w:type="dxa" w:w="4536"/>
          </w:tcPr>
          <w:p>
            <w:r>
              <w:t>No written emergency response plan was produced upon request. Three staff members interviewed were unable to describe any formal procedures. The pastor indicated a plan "may exist" but could not locate it. A written, accessible, and practiced emergency plan is a baseline safety requirement. Recommendation: Develop a written plan covering lockdown, evacuation, medical emergency, and active threat scenarios. Review and practice annually with all staff.</w:t>
            </w:r>
          </w:p>
        </w:tc>
      </w:tr>
      <w:tr>
        <w:tc>
          <w:tcPr>
            <w:tcW w:type="dxa" w:w="4536"/>
          </w:tcPr>
          <w:p>
            <w:r>
              <w:t>Children's check-in system is okay.</w:t>
            </w:r>
          </w:p>
        </w:tc>
        <w:tc>
          <w:tcPr>
            <w:tcW w:type="dxa" w:w="4536"/>
          </w:tcPr>
          <w:p>
            <w:r>
              <w:t>A paper-based check-in system is in use for children's ministry. Each child is checked in by a parent or guardian and assigned a matching number tag. Children are only released to adults presenting the matching tag. No electronic system is in place, but the current process is consistently applied. Recommendation: Continue current practice. Consider transitioning to a digital check-in system as the ministry grows to improve speed and documentation.</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8.3 — PRIORITIZING RECOMMENDATIONS</w:t>
            </w:r>
          </w:p>
        </w:tc>
      </w:tr>
    </w:tbl>
    <w:p/>
    <w:p>
      <w:pPr>
        <w:spacing w:after="80"/>
      </w:pPr>
      <w:r>
        <w:t>Not every finding requires the same urgency. Overwhelming a congregation with a list of 40 undifferentiated recommendations produces paralysis — not action. Organize recommendations into three priority tiers:</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B2A4A"/>
          </w:tcPr>
          <w:p>
            <w:r>
              <w:rPr>
                <w:b/>
                <w:color w:val="FFFFFF"/>
              </w:rPr>
              <w:t>Priority</w:t>
            </w:r>
          </w:p>
        </w:tc>
        <w:tc>
          <w:tcPr>
            <w:tcW w:type="dxa" w:w="3024"/>
            <w:shd w:val="clear" w:color="auto" w:fill="0B2A4A"/>
          </w:tcPr>
          <w:p>
            <w:r>
              <w:rPr>
                <w:b/>
                <w:color w:val="FFFFFF"/>
              </w:rPr>
              <w:t>Definition</w:t>
            </w:r>
          </w:p>
        </w:tc>
        <w:tc>
          <w:tcPr>
            <w:tcW w:type="dxa" w:w="3024"/>
            <w:shd w:val="clear" w:color="auto" w:fill="0B2A4A"/>
          </w:tcPr>
          <w:p>
            <w:r>
              <w:rPr>
                <w:b/>
                <w:color w:val="FFFFFF"/>
              </w:rPr>
              <w:t>Examples</w:t>
            </w:r>
          </w:p>
        </w:tc>
      </w:tr>
      <w:tr>
        <w:tc>
          <w:tcPr>
            <w:tcW w:type="dxa" w:w="3024"/>
            <w:shd w:val="clear" w:color="auto" w:fill="E8F0FA"/>
          </w:tcPr>
          <w:p>
            <w:r>
              <w:rPr>
                <w:b/>
              </w:rPr>
              <w:t>Priority 1 — Immediate Action</w:t>
              <w:br/>
              <w:t>(Within 30 days)</w:t>
            </w:r>
          </w:p>
        </w:tc>
        <w:tc>
          <w:tcPr>
            <w:tcW w:type="dxa" w:w="3024"/>
          </w:tcPr>
          <w:p>
            <w:r>
              <w:t>Gaps that represent the highest risk to life safety and require no significant budget.</w:t>
            </w:r>
          </w:p>
        </w:tc>
        <w:tc>
          <w:tcPr>
            <w:tcW w:type="dxa" w:w="3024"/>
          </w:tcPr>
          <w:p>
            <w:r>
              <w:t>Propped-open doors, no greeter at entry, no children's check-in process, unsecured children's rooms</w:t>
            </w:r>
          </w:p>
        </w:tc>
      </w:tr>
      <w:tr>
        <w:tc>
          <w:tcPr>
            <w:tcW w:type="dxa" w:w="3024"/>
            <w:shd w:val="clear" w:color="auto" w:fill="E8F0FA"/>
          </w:tcPr>
          <w:p>
            <w:r>
              <w:rPr>
                <w:b/>
              </w:rPr>
              <w:t>Priority 2 — Near-Term Action</w:t>
              <w:br/>
              <w:t>(Within 90 days)</w:t>
            </w:r>
          </w:p>
        </w:tc>
        <w:tc>
          <w:tcPr>
            <w:tcW w:type="dxa" w:w="3024"/>
          </w:tcPr>
          <w:p>
            <w:r>
              <w:t>Meaningful gaps that may require some budget or planning but should not be deferred.</w:t>
            </w:r>
          </w:p>
        </w:tc>
        <w:tc>
          <w:tcPr>
            <w:tcW w:type="dxa" w:w="3024"/>
          </w:tcPr>
          <w:p>
            <w:r>
              <w:t>Missing or non-functioning cameras, outdated first aid kit, no written emergency plan, incomplete background checks</w:t>
            </w:r>
          </w:p>
        </w:tc>
      </w:tr>
      <w:tr>
        <w:tc>
          <w:tcPr>
            <w:tcW w:type="dxa" w:w="3024"/>
            <w:shd w:val="clear" w:color="auto" w:fill="E8F0FA"/>
          </w:tcPr>
          <w:p>
            <w:r>
              <w:rPr>
                <w:b/>
              </w:rPr>
              <w:t>Priority 3 — Long-Term Planning</w:t>
              <w:br/>
              <w:t>(6–12 months)</w:t>
            </w:r>
          </w:p>
        </w:tc>
        <w:tc>
          <w:tcPr>
            <w:tcW w:type="dxa" w:w="3024"/>
          </w:tcPr>
          <w:p>
            <w:r>
              <w:t>Infrastructure or programmatic improvements that require significant investment or planning.</w:t>
            </w:r>
          </w:p>
        </w:tc>
        <w:tc>
          <w:tcPr>
            <w:tcW w:type="dxa" w:w="3024"/>
          </w:tcPr>
          <w:p>
            <w:r>
              <w:t>Full camera system upgrade, physical barriers at parking entry, alarm system installation, formal security team training program</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8.4 — CONDUCTING THE LEADERSHIP DEBRIEF</w:t>
            </w:r>
          </w:p>
        </w:tc>
      </w:tr>
    </w:tbl>
    <w:p/>
    <w:p>
      <w:pPr>
        <w:spacing w:after="80"/>
      </w:pPr>
      <w:r>
        <w:t>The debrief is the most important conversation you will have during an engagement. It is the moment where findings become decisions — and where the congregation's relationship with SSSF is either strengthened or damaged. Treat it with the same care you gave the walk-through.</w:t>
      </w:r>
    </w:p>
    <w:p>
      <w:pPr>
        <w:spacing w:before="160"/>
      </w:pPr>
      <w:r>
        <w:rPr>
          <w:b/>
          <w:color w:val="1A4E78"/>
          <w:sz w:val="22"/>
        </w:rPr>
        <w:t>Debrief Structure</w:t>
      </w:r>
    </w:p>
    <w:p>
      <w:pPr>
        <w:pStyle w:val="ListNumber"/>
        <w:ind w:left="288"/>
      </w:pPr>
      <w:r>
        <w:t>Open with appreciation and acknowledgment (2 minutes): Thank them again. Affirm the courage it takes to invite this kind of evaluation.</w:t>
      </w:r>
    </w:p>
    <w:p>
      <w:pPr>
        <w:pStyle w:val="ListNumber"/>
        <w:ind w:left="288"/>
      </w:pPr>
      <w:r>
        <w:t>State the overall score and frame it positively (3 minutes): 'Your overall score is X. Here is what that tells us...' Lead with strengths before gaps.</w:t>
      </w:r>
    </w:p>
    <w:p>
      <w:pPr>
        <w:pStyle w:val="ListNumber"/>
        <w:ind w:left="288"/>
      </w:pPr>
      <w:r>
        <w:t>Walk through each pillar score briefly (10–15 minutes): Highlight the standout strengths and the most critical gaps. Don't read every note aloud — summarize.</w:t>
      </w:r>
    </w:p>
    <w:p>
      <w:pPr>
        <w:pStyle w:val="ListNumber"/>
        <w:ind w:left="288"/>
      </w:pPr>
      <w:r>
        <w:t>Present the top 3 Priority 1 recommendations (5 minutes): These are your headline ask. Be specific. Be actionable. Make them feel achievable.</w:t>
      </w:r>
    </w:p>
    <w:p>
      <w:pPr>
        <w:pStyle w:val="ListNumber"/>
        <w:ind w:left="288"/>
      </w:pPr>
      <w:r>
        <w:t>Give them the full report and walk through the next steps (5 minutes): How they'll receive the written report, what SSSF's follow-up process looks like, and how to reach SSSF with questions.</w:t>
      </w:r>
    </w:p>
    <w:p>
      <w:pPr>
        <w:pStyle w:val="ListNumber"/>
        <w:ind w:left="288"/>
      </w:pPr>
      <w:r>
        <w:t>Invite questions and close with encouragement (open): End on a note of genuine encouragement — they have taken an important step.</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8.5 — DEBRIEF TONE GUIDELINES</w:t>
            </w:r>
          </w:p>
        </w:tc>
      </w:tr>
    </w:tbl>
    <w:p/>
    <w:tbl>
      <w:tblPr>
        <w:tblStyle w:val="TableGrid"/>
        <w:tblW w:type="auto" w:w="0"/>
        <w:tblLook w:firstColumn="1" w:firstRow="1" w:lastColumn="0" w:lastRow="0" w:noHBand="0" w:noVBand="1" w:val="04A0"/>
      </w:tblPr>
      <w:tblGrid>
        <w:gridCol w:w="4536"/>
        <w:gridCol w:w="4536"/>
      </w:tblGrid>
      <w:tr>
        <w:tc>
          <w:tcPr>
            <w:tcW w:type="dxa" w:w="4536"/>
            <w:shd w:val="clear" w:color="auto" w:fill="0B2A4A"/>
          </w:tcPr>
          <w:p>
            <w:r>
              <w:rPr>
                <w:b/>
                <w:color w:val="FFFFFF"/>
              </w:rPr>
              <w:t>Instead of This...</w:t>
            </w:r>
          </w:p>
        </w:tc>
        <w:tc>
          <w:tcPr>
            <w:tcW w:type="dxa" w:w="4536"/>
            <w:shd w:val="clear" w:color="auto" w:fill="1A4E78"/>
          </w:tcPr>
          <w:p>
            <w:r>
              <w:rPr>
                <w:b/>
                <w:color w:val="FFFFFF"/>
              </w:rPr>
              <w:t>Say This...</w:t>
            </w:r>
          </w:p>
        </w:tc>
      </w:tr>
      <w:tr>
        <w:tc>
          <w:tcPr>
            <w:tcW w:type="dxa" w:w="4536"/>
          </w:tcPr>
          <w:p>
            <w:r>
              <w:t>"Your score is very low."</w:t>
            </w:r>
          </w:p>
        </w:tc>
        <w:tc>
          <w:tcPr>
            <w:tcW w:type="dxa" w:w="4536"/>
          </w:tcPr>
          <w:p>
            <w:r>
              <w:t>"Your score tells us there's meaningful room to grow — which is actually the most useful thing we can tell you."</w:t>
            </w:r>
          </w:p>
        </w:tc>
      </w:tr>
      <w:tr>
        <w:tc>
          <w:tcPr>
            <w:tcW w:type="dxa" w:w="4536"/>
          </w:tcPr>
          <w:p>
            <w:r>
              <w:t>"You have no emergency plan. That's a serious problem."</w:t>
            </w:r>
          </w:p>
        </w:tc>
        <w:tc>
          <w:tcPr>
            <w:tcW w:type="dxa" w:w="4536"/>
          </w:tcPr>
          <w:p>
            <w:r>
              <w:t>"Developing a written emergency plan is your highest-impact next step — and it's one of the most achievable things on this list."</w:t>
            </w:r>
          </w:p>
        </w:tc>
      </w:tr>
      <w:tr>
        <w:tc>
          <w:tcPr>
            <w:tcW w:type="dxa" w:w="4536"/>
          </w:tcPr>
          <w:p>
            <w:r>
              <w:t>"I was concerned about several things I saw today."</w:t>
            </w:r>
          </w:p>
        </w:tc>
        <w:tc>
          <w:tcPr>
            <w:tcW w:type="dxa" w:w="4536"/>
          </w:tcPr>
          <w:p>
            <w:r>
              <w:t>"Several areas stood out as opportunities to make a real difference in your congregation's safety."</w:t>
            </w:r>
          </w:p>
        </w:tc>
      </w:tr>
      <w:tr>
        <w:tc>
          <w:tcPr>
            <w:tcW w:type="dxa" w:w="4536"/>
          </w:tcPr>
          <w:p>
            <w:r>
              <w:t>"This is going to be expensive to fix."</w:t>
            </w:r>
          </w:p>
        </w:tc>
        <w:tc>
          <w:tcPr>
            <w:tcW w:type="dxa" w:w="4536"/>
          </w:tcPr>
          <w:p>
            <w:r>
              <w:t>"Some of these steps cost very little — let's talk about where you can make the biggest impact with the least investment."</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8.6 — HANDLING EMOTIONAL REACTIONS DURING THE DEBRIEF</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Scenario: The pastor becomes visibly upset or tearful</w:t>
              <w:br/>
            </w:r>
            <w:r>
              <w:rPr>
                <w:sz w:val="20"/>
              </w:rPr>
              <w:t>Approach: Pause. Give them a moment. Then: 'This is a lot to take in, and the fact that you care this much about your congregation is evident. Let's take this one step at a time.' Don't rush past the emotion.</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Scenario: Leadership becomes defensive or dismissive</w:t>
              <w:br/>
            </w:r>
            <w:r>
              <w:rPr>
                <w:sz w:val="20"/>
              </w:rPr>
              <w:t>Approach: Stay calm and measured. Validate: 'I understand this might feel overwhelming, and some of these findings may be surprising. Our goal is never to criticize — it's to help you build on what you already have.'</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Scenario: Leadership wants to debate a score</w:t>
              <w:br/>
            </w:r>
            <w:r>
              <w:rPr>
                <w:sz w:val="20"/>
              </w:rPr>
              <w:t>Approach: Acknowledge their perspective without caving to pressure. 'I understand you feel that process is in place — what I observed during the walk-through led me to score it as a PARTIAL. I'm happy to note your feedback in the report.'</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Scenario: Leadership asks you to change a score</w:t>
              <w:br/>
            </w:r>
            <w:r>
              <w:rPr>
                <w:sz w:val="20"/>
              </w:rPr>
              <w:t>Approach: This is a serious moment. You may never change a score based on pressure. 'I understand your concern. My scores reflect what I directly observed during the assessment. I cannot adjust scores after the fact — but I'm happy to note any additional context you'd like included.'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KEY TAKEAWAYS</w:t>
            </w:r>
          </w:p>
        </w:tc>
      </w:tr>
    </w:tbl>
    <w:p/>
    <w:p>
      <w:pPr>
        <w:pStyle w:val="ListBullet"/>
        <w:ind w:left="288"/>
      </w:pPr>
      <w:r>
        <w:t>Use the Three-Part Note Formula: what you observed, why it matters, what to do.</w:t>
      </w:r>
    </w:p>
    <w:p>
      <w:pPr>
        <w:pStyle w:val="ListBullet"/>
        <w:ind w:left="288"/>
      </w:pPr>
      <w:r>
        <w:t>Organize recommendations into three priority tiers — Immediate, Near-Term, and Long-Term.</w:t>
      </w:r>
    </w:p>
    <w:p>
      <w:pPr>
        <w:pStyle w:val="ListBullet"/>
        <w:ind w:left="288"/>
      </w:pPr>
      <w:r>
        <w:t>The debrief should lead with strengths, present findings constructively, and close with genuine encouragement.</w:t>
      </w:r>
    </w:p>
    <w:p>
      <w:pPr>
        <w:pStyle w:val="ListBullet"/>
        <w:ind w:left="288"/>
      </w:pPr>
      <w:r>
        <w:t>Never change a score based on pressure. Acknowledge their feedback, document it, and hold your professional assessment.</w:t>
      </w:r>
    </w:p>
    <w:p>
      <w:pPr>
        <w:pStyle w:val="ListBullet"/>
        <w:ind w:left="288"/>
      </w:pPr>
      <w:r>
        <w:t>The debrief is where the congregation decides whether to trust SSSF enough to act on what you found.</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KNOWLEDGE CHECK</w:t>
            </w:r>
          </w:p>
        </w:tc>
      </w:tr>
    </w:tbl>
    <w:p/>
    <w:p>
      <w:pPr>
        <w:spacing w:after="80"/>
      </w:pPr>
      <w:r>
        <w:t>Answer the following questions to confirm your understanding of this module. These will be reviewed with your instructor.</w:t>
      </w:r>
    </w:p>
    <w:p/>
    <w:p>
      <w:r>
        <w:rPr>
          <w:b/>
        </w:rPr>
        <w:t>1. Which of the following is a strong assessor note?</w:t>
      </w:r>
    </w:p>
    <w:p>
      <w:pPr>
        <w:pStyle w:val="ListBullet"/>
        <w:ind w:left="288"/>
      </w:pPr>
      <w:r>
        <w:t>A) 'Lighting needs improvement outside.'</w:t>
      </w:r>
    </w:p>
    <w:p>
      <w:pPr>
        <w:pStyle w:val="ListBullet"/>
        <w:ind w:left="288"/>
      </w:pPr>
      <w:r>
        <w:t>B) 'South parking lot has a 40-foot unlit zone near the secondary exit. Recommend two dusk-to-dawn LED fixtures.'</w:t>
      </w:r>
    </w:p>
    <w:p>
      <w:pPr>
        <w:pStyle w:val="ListBullet"/>
        <w:ind w:left="288"/>
      </w:pPr>
      <w:r>
        <w:t>C) 'Some cameras don't work.'</w:t>
      </w:r>
    </w:p>
    <w:p>
      <w:pPr>
        <w:pStyle w:val="ListBullet"/>
        <w:ind w:left="288"/>
      </w:pPr>
      <w:r>
        <w:t>D) 'Emergency plan may or may not exist.'</w:t>
      </w:r>
    </w:p>
    <w:p/>
    <w:p>
      <w:r>
        <w:rPr>
          <w:b/>
        </w:rPr>
        <w:t>2. A Priority 1 recommendation is best described as:</w:t>
      </w:r>
    </w:p>
    <w:p>
      <w:pPr>
        <w:pStyle w:val="ListBullet"/>
        <w:ind w:left="288"/>
      </w:pPr>
      <w:r>
        <w:t>A) A major infrastructure investment requiring significant budget</w:t>
      </w:r>
    </w:p>
    <w:p>
      <w:pPr>
        <w:pStyle w:val="ListBullet"/>
        <w:ind w:left="288"/>
      </w:pPr>
      <w:r>
        <w:t>B) A gap that represents high risk but requires little or no budget to address — action within 30 days</w:t>
      </w:r>
    </w:p>
    <w:p>
      <w:pPr>
        <w:pStyle w:val="ListBullet"/>
        <w:ind w:left="288"/>
      </w:pPr>
      <w:r>
        <w:t>C) A nice-to-have improvement for long-term planning</w:t>
      </w:r>
    </w:p>
    <w:p>
      <w:pPr>
        <w:pStyle w:val="ListBullet"/>
        <w:ind w:left="288"/>
      </w:pPr>
      <w:r>
        <w:t>D) Any gap that scored NO on the assessment</w:t>
      </w:r>
    </w:p>
    <w:p/>
    <w:p>
      <w:r>
        <w:rPr>
          <w:b/>
        </w:rPr>
        <w:t>3. A pastor asks you to change a PARTIAL score to a YES because 'we really do have that process in place.' You should:</w:t>
      </w:r>
    </w:p>
    <w:p>
      <w:pPr>
        <w:pStyle w:val="ListBullet"/>
        <w:ind w:left="288"/>
      </w:pPr>
      <w:r>
        <w:t>A) Change the score to maintain the relationship</w:t>
      </w:r>
    </w:p>
    <w:p>
      <w:pPr>
        <w:pStyle w:val="ListBullet"/>
        <w:ind w:left="288"/>
      </w:pPr>
      <w:r>
        <w:t>B) Change it to PARTIAL/YES to split the difference</w:t>
      </w:r>
    </w:p>
    <w:p>
      <w:pPr>
        <w:pStyle w:val="ListBullet"/>
        <w:ind w:left="288"/>
      </w:pPr>
      <w:r>
        <w:t>C) Decline to change the score and explain that it reflects your direct observations; offer to note their context in the report</w:t>
      </w:r>
    </w:p>
    <w:p>
      <w:pPr>
        <w:pStyle w:val="ListBullet"/>
        <w:ind w:left="288"/>
      </w:pPr>
      <w:r>
        <w:t>D) Agree to review your notes and let SSSF decide</w:t>
      </w:r>
    </w:p>
    <w:p/>
    <w:p>
      <w:r>
        <w:rPr>
          <w:b/>
        </w:rPr>
        <w:t>4. When presenting the debrief, when should you lead with strengths?</w:t>
      </w:r>
    </w:p>
    <w:p>
      <w:pPr>
        <w:pStyle w:val="ListBullet"/>
        <w:ind w:left="288"/>
      </w:pPr>
      <w:r>
        <w:t>A) Only if the overall score is above 7.0</w:t>
      </w:r>
    </w:p>
    <w:p>
      <w:pPr>
        <w:pStyle w:val="ListBullet"/>
        <w:ind w:left="288"/>
      </w:pPr>
      <w:r>
        <w:t>B) Before presenting gaps — always lead with what the congregation is doing well</w:t>
      </w:r>
    </w:p>
    <w:p>
      <w:pPr>
        <w:pStyle w:val="ListBullet"/>
        <w:ind w:left="288"/>
      </w:pPr>
      <w:r>
        <w:t>C) At the end of the debrief after all gaps are covered</w:t>
      </w:r>
    </w:p>
    <w:p>
      <w:pPr>
        <w:pStyle w:val="ListBullet"/>
        <w:ind w:left="288"/>
      </w:pPr>
      <w:r>
        <w:t>D) Only if the congregation seems defensive</w:t>
      </w:r>
    </w:p>
    <w:p/>
    <w:p>
      <w:r>
        <w:rPr>
          <w:b/>
        </w:rPr>
        <w:t>5. How many Priority 1 recommendations should you highlight in the debrief?</w:t>
      </w:r>
    </w:p>
    <w:p>
      <w:pPr>
        <w:pStyle w:val="ListBullet"/>
        <w:ind w:left="288"/>
      </w:pPr>
      <w:r>
        <w:t>A) All of them — the client needs to know everything</w:t>
      </w:r>
    </w:p>
    <w:p>
      <w:pPr>
        <w:pStyle w:val="ListBullet"/>
        <w:ind w:left="288"/>
      </w:pPr>
      <w:r>
        <w:t>B) None — wait for the written report</w:t>
      </w:r>
    </w:p>
    <w:p>
      <w:pPr>
        <w:pStyle w:val="ListBullet"/>
        <w:ind w:left="288"/>
      </w:pPr>
      <w:r>
        <w:t>C) The top 3 — enough to create urgency without overwhelming</w:t>
      </w:r>
    </w:p>
    <w:p>
      <w:pPr>
        <w:pStyle w:val="ListBullet"/>
        <w:ind w:left="288"/>
      </w:pPr>
      <w:r>
        <w:t>D) Only one — keep it simple</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NOTES</w:t>
            </w:r>
          </w:p>
        </w:tc>
      </w:tr>
    </w:tbl>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